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ListParagraph"/>
        <w:widowControl w:val="false"/>
        <w:numPr>
          <w:ilvl w:val="0"/>
          <w:numId w:val="0"/>
        </w:numPr>
        <w:bidi w:val="0"/>
        <w:spacing w:before="0" w:after="0"/>
        <w:ind w:left="5669" w:right="0" w:hanging="0"/>
        <w:contextualSpacing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УТВЕРЖДАЮ</w:t>
      </w:r>
    </w:p>
    <w:p>
      <w:pPr>
        <w:pStyle w:val="Style30"/>
        <w:widowControl/>
        <w:tabs>
          <w:tab w:val="clear" w:pos="708"/>
          <w:tab w:val="left" w:pos="5505" w:leader="none"/>
        </w:tabs>
        <w:bidi w:val="0"/>
        <w:ind w:left="5669" w:right="0" w:hanging="0"/>
        <w:jc w:val="left"/>
        <w:rPr>
          <w:b/>
          <w:b/>
          <w:sz w:val="24"/>
        </w:rPr>
      </w:pPr>
      <w:r>
        <w:rPr>
          <w:b/>
          <w:sz w:val="28"/>
          <w:szCs w:val="28"/>
        </w:rPr>
        <w:t>Руководитель управления Федеральной службы по надзору в сфере защиты прав потребителей и благополучия человека по Воронежской области</w:t>
      </w:r>
    </w:p>
    <w:p>
      <w:pPr>
        <w:pStyle w:val="Style30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30"/>
        <w:widowControl/>
        <w:bidi w:val="0"/>
        <w:ind w:left="5669" w:right="0" w:hanging="0"/>
        <w:jc w:val="left"/>
        <w:rPr/>
      </w:pPr>
      <w:r>
        <w:rPr>
          <w:b/>
          <w:sz w:val="28"/>
          <w:szCs w:val="28"/>
        </w:rPr>
        <w:t xml:space="preserve">_________________ </w:t>
      </w:r>
    </w:p>
    <w:p>
      <w:pPr>
        <w:pStyle w:val="Style30"/>
        <w:widowControl/>
        <w:bidi w:val="0"/>
        <w:ind w:left="5669" w:right="0" w:hanging="0"/>
        <w:jc w:val="left"/>
        <w:rPr>
          <w:b/>
          <w:b/>
        </w:rPr>
      </w:pPr>
      <w:r>
        <w:rPr>
          <w:b/>
        </w:rPr>
      </w:r>
    </w:p>
    <w:p>
      <w:pPr>
        <w:pStyle w:val="Style30"/>
        <w:widowControl/>
        <w:bidi w:val="0"/>
        <w:ind w:left="5669" w:right="0" w:hanging="0"/>
        <w:jc w:val="left"/>
        <w:rPr/>
      </w:pPr>
      <w:r>
        <w:rPr>
          <w:b/>
          <w:sz w:val="28"/>
          <w:szCs w:val="28"/>
        </w:rPr>
        <w:t>«______» _________________</w:t>
      </w:r>
    </w:p>
    <w:p>
      <w:pPr>
        <w:pStyle w:val="Style30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30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30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30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30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Style30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b/>
          <w:sz w:val="28"/>
          <w:szCs w:val="28"/>
        </w:rPr>
        <w:t>ДОЛЖНОСТНОЙ РЕГЛАМЕНТ</w:t>
      </w:r>
    </w:p>
    <w:p>
      <w:pPr>
        <w:pStyle w:val="Style30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b w:val="false"/>
          <w:bCs w:val="false"/>
          <w:sz w:val="28"/>
          <w:szCs w:val="28"/>
        </w:rPr>
        <w:t>федерального государственного гражданского служащего,</w:t>
      </w:r>
      <w:r>
        <w:rPr>
          <w:b w:val="false"/>
          <w:bCs w:val="false"/>
          <w:sz w:val="24"/>
          <w:szCs w:val="28"/>
        </w:rPr>
        <w:t xml:space="preserve"> </w:t>
      </w:r>
      <w:r>
        <w:rPr>
          <w:b w:val="false"/>
          <w:bCs w:val="false"/>
          <w:sz w:val="28"/>
          <w:szCs w:val="28"/>
        </w:rPr>
        <w:t>замещающего должность главного специалиста-эксперта отдела бухгалтерского учета и отчетности управления Роспотребнадзора по Воронежской области</w:t>
      </w:r>
    </w:p>
    <w:p>
      <w:pPr>
        <w:pStyle w:val="11"/>
        <w:shd w:val="clear" w:color="auto" w:fill="auto"/>
        <w:tabs>
          <w:tab w:val="clear" w:pos="708"/>
          <w:tab w:val="left" w:pos="6673" w:leader="underscore"/>
        </w:tabs>
        <w:spacing w:lineRule="auto" w:line="240"/>
        <w:ind w:left="360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1"/>
        <w:shd w:val="clear" w:color="auto" w:fill="auto"/>
        <w:tabs>
          <w:tab w:val="clear" w:pos="708"/>
          <w:tab w:val="left" w:pos="6673" w:leader="underscore"/>
        </w:tabs>
        <w:spacing w:lineRule="auto" w:line="240"/>
        <w:ind w:left="360" w:hanging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en-US"/>
        </w:rPr>
        <w:t>I.</w:t>
      </w:r>
      <w:r>
        <w:rPr>
          <w:sz w:val="28"/>
          <w:szCs w:val="28"/>
        </w:rPr>
        <w:t xml:space="preserve"> Общие положения</w:t>
      </w:r>
    </w:p>
    <w:p>
      <w:pPr>
        <w:pStyle w:val="11"/>
        <w:shd w:val="clear" w:color="auto" w:fill="auto"/>
        <w:tabs>
          <w:tab w:val="clear" w:pos="708"/>
          <w:tab w:val="left" w:pos="6673" w:leader="underscore"/>
        </w:tabs>
        <w:spacing w:lineRule="auto" w:line="240"/>
        <w:ind w:left="360" w:hanging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2"/>
        <w:widowControl w:val="false"/>
        <w:numPr>
          <w:ilvl w:val="0"/>
          <w:numId w:val="1"/>
        </w:numPr>
        <w:shd w:val="clear" w:color="auto" w:fill="auto"/>
        <w:tabs>
          <w:tab w:val="clear" w:pos="708"/>
          <w:tab w:val="left" w:pos="1260" w:leader="none"/>
        </w:tabs>
        <w:bidi w:val="0"/>
        <w:spacing w:lineRule="auto" w:line="240" w:before="0" w:after="0"/>
        <w:ind w:left="0" w:right="0" w:firstLine="794"/>
        <w:jc w:val="both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Должность федеральной государственной гражданской службы (далее - гражданская служба) главног</w:t>
      </w:r>
      <w:r>
        <w:rPr>
          <w:sz w:val="28"/>
          <w:szCs w:val="28"/>
          <w:u w:val="none"/>
        </w:rPr>
        <w:t xml:space="preserve">о специалиста-эксперта </w:t>
      </w:r>
      <w:r>
        <w:rPr>
          <w:sz w:val="28"/>
          <w:szCs w:val="28"/>
        </w:rPr>
        <w:t>отдела бухгалтерского учета и отчетности управления Федеральной службы по надзору в сфере защиты прав потребителей и благополучия человека по Воронежской области (далее - Управление) относится к старшей группе должностей гражданской службы категории специалисты.</w:t>
      </w:r>
    </w:p>
    <w:p>
      <w:pPr>
        <w:pStyle w:val="2"/>
        <w:widowControl w:val="false"/>
        <w:shd w:val="clear" w:color="auto" w:fill="auto"/>
        <w:tabs>
          <w:tab w:val="clear" w:pos="708"/>
          <w:tab w:val="left" w:pos="1260" w:leader="none"/>
        </w:tabs>
        <w:bidi w:val="0"/>
        <w:spacing w:lineRule="auto" w:line="240" w:before="0" w:after="0"/>
        <w:ind w:left="0" w:right="0" w:firstLine="794"/>
        <w:jc w:val="both"/>
        <w:rPr/>
      </w:pPr>
      <w:r>
        <w:rPr>
          <w:sz w:val="28"/>
          <w:szCs w:val="28"/>
        </w:rPr>
        <w:t>Регистрационный номер (код) должности</w:t>
      </w:r>
      <w:r>
        <w:rPr>
          <w:rStyle w:val="10pt"/>
          <w:sz w:val="28"/>
          <w:szCs w:val="28"/>
          <w:vertAlign w:val="superscript"/>
        </w:rPr>
        <w:t xml:space="preserve"> </w:t>
      </w:r>
      <w:r>
        <w:rPr>
          <w:sz w:val="28"/>
          <w:szCs w:val="28"/>
        </w:rPr>
        <w:t>11-3-4-060.</w:t>
      </w:r>
    </w:p>
    <w:p>
      <w:pPr>
        <w:pStyle w:val="2"/>
        <w:numPr>
          <w:ilvl w:val="0"/>
          <w:numId w:val="1"/>
        </w:numPr>
        <w:shd w:val="clear" w:color="auto" w:fill="auto"/>
        <w:tabs>
          <w:tab w:val="clear" w:pos="708"/>
          <w:tab w:val="left" w:pos="1260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Область профессиональной служебной деятельности федерального государственного гражданского служащего (далее - гражданский служащий) — регулирование здравоохранения и санитарно-эпидемиологического благополучия, регулирование в сфере защиты прав потребителей.</w:t>
      </w:r>
    </w:p>
    <w:p>
      <w:pPr>
        <w:pStyle w:val="2"/>
        <w:numPr>
          <w:ilvl w:val="0"/>
          <w:numId w:val="1"/>
        </w:numPr>
        <w:shd w:val="clear" w:color="auto" w:fill="auto"/>
        <w:tabs>
          <w:tab w:val="clear" w:pos="708"/>
          <w:tab w:val="left" w:pos="1259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Вид профессиональной служебной деятельности гражданского служащего:</w:t>
      </w:r>
      <w:bookmarkStart w:id="0" w:name="_Toc477362201"/>
      <w:r>
        <w:rPr>
          <w:sz w:val="28"/>
          <w:szCs w:val="28"/>
        </w:rPr>
        <w:t xml:space="preserve"> ведение бюджетного (бухгалтерского) учета и отчетности</w:t>
      </w:r>
      <w:bookmarkEnd w:id="0"/>
      <w:r>
        <w:rPr>
          <w:sz w:val="28"/>
          <w:szCs w:val="28"/>
        </w:rPr>
        <w:t>.</w:t>
      </w:r>
    </w:p>
    <w:p>
      <w:pPr>
        <w:pStyle w:val="2"/>
        <w:numPr>
          <w:ilvl w:val="0"/>
          <w:numId w:val="1"/>
        </w:numPr>
        <w:shd w:val="clear" w:color="auto" w:fill="auto"/>
        <w:tabs>
          <w:tab w:val="clear" w:pos="708"/>
          <w:tab w:val="left" w:pos="1259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Назначение на должность главного специалиста-эксперта отдела бухгалтерского учета и отчетности Управления и освобождение от должности осуществляется решением руководителя Управления в порядке, установленном законодательством Российской Федерации.</w:t>
      </w:r>
    </w:p>
    <w:p>
      <w:pPr>
        <w:pStyle w:val="2"/>
        <w:numPr>
          <w:ilvl w:val="0"/>
          <w:numId w:val="1"/>
        </w:numPr>
        <w:shd w:val="clear" w:color="auto" w:fill="auto"/>
        <w:tabs>
          <w:tab w:val="clear" w:pos="708"/>
          <w:tab w:val="left" w:pos="1259" w:leader="none"/>
          <w:tab w:val="center" w:pos="5113" w:leader="underscore"/>
          <w:tab w:val="left" w:pos="5828" w:leader="none"/>
        </w:tabs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Главный специалист-эксперт отдела бухгалтерского учета и отчетности Управления непосредственно подчиняется заместителю начальника отдела бухгалтерского учета и отчетности</w:t>
      </w:r>
      <w:r>
        <w:rPr>
          <w:spacing w:val="0"/>
          <w:sz w:val="28"/>
          <w:szCs w:val="28"/>
        </w:rPr>
        <w:t>.</w:t>
      </w:r>
    </w:p>
    <w:p>
      <w:pPr>
        <w:pStyle w:val="2"/>
        <w:numPr>
          <w:ilvl w:val="0"/>
          <w:numId w:val="1"/>
        </w:numPr>
        <w:shd w:val="clear" w:color="auto" w:fill="auto"/>
        <w:tabs>
          <w:tab w:val="clear" w:pos="708"/>
          <w:tab w:val="left" w:pos="1259" w:leader="none"/>
          <w:tab w:val="center" w:pos="5113" w:leader="underscore"/>
          <w:tab w:val="left" w:pos="5828" w:leader="none"/>
          <w:tab w:val="right" w:pos="9206" w:leader="underscore"/>
        </w:tabs>
        <w:spacing w:lineRule="auto" w:line="240" w:before="0"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pacing w:val="0"/>
          <w:sz w:val="28"/>
          <w:szCs w:val="28"/>
        </w:rPr>
        <w:t>В период временного отсутствия главного</w:t>
      </w:r>
      <w:r>
        <w:rPr>
          <w:sz w:val="28"/>
          <w:szCs w:val="28"/>
        </w:rPr>
        <w:t xml:space="preserve"> специалиста-эксперта отдела бухгалтерского учета и отчетности Управления </w:t>
      </w:r>
      <w:r>
        <w:rPr>
          <w:spacing w:val="0"/>
          <w:sz w:val="28"/>
          <w:szCs w:val="28"/>
        </w:rPr>
        <w:t>исполнение его должностных обязанностей возлагается на другого гражданского служащего, замещающего должность главного</w:t>
      </w:r>
      <w:r>
        <w:rPr>
          <w:sz w:val="28"/>
          <w:szCs w:val="28"/>
        </w:rPr>
        <w:t xml:space="preserve"> специалиста-эксперта отдела бухгалтерского учета и отчетности Управления.</w:t>
      </w:r>
    </w:p>
    <w:p>
      <w:pPr>
        <w:pStyle w:val="11"/>
        <w:shd w:val="clear" w:color="auto" w:fill="auto"/>
        <w:tabs>
          <w:tab w:val="clear" w:pos="708"/>
          <w:tab w:val="left" w:pos="3446" w:leader="none"/>
        </w:tabs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1"/>
        <w:shd w:val="clear" w:color="auto" w:fill="auto"/>
        <w:tabs>
          <w:tab w:val="clear" w:pos="708"/>
          <w:tab w:val="left" w:pos="3446" w:leader="none"/>
        </w:tabs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en-US"/>
        </w:rPr>
        <w:t>II</w:t>
      </w:r>
      <w:r>
        <w:rPr>
          <w:sz w:val="28"/>
          <w:szCs w:val="28"/>
        </w:rPr>
        <w:t>. Квалификационные требования для замещения должности</w:t>
      </w:r>
    </w:p>
    <w:p>
      <w:pPr>
        <w:pStyle w:val="11"/>
        <w:shd w:val="clear" w:color="auto" w:fill="auto"/>
        <w:tabs>
          <w:tab w:val="clear" w:pos="708"/>
          <w:tab w:val="left" w:pos="3446" w:leader="none"/>
        </w:tabs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гражданской службы</w:t>
      </w:r>
    </w:p>
    <w:p>
      <w:pPr>
        <w:pStyle w:val="11"/>
        <w:shd w:val="clear" w:color="auto" w:fill="auto"/>
        <w:tabs>
          <w:tab w:val="clear" w:pos="708"/>
          <w:tab w:val="left" w:pos="3446" w:leader="none"/>
        </w:tabs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1"/>
        <w:shd w:val="clear" w:color="auto" w:fill="auto"/>
        <w:tabs>
          <w:tab w:val="clear" w:pos="708"/>
          <w:tab w:val="right" w:pos="9206" w:leader="underscore"/>
        </w:tabs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2.1. Для замещения должности главного специалиста-эксперта отдела бухгалтерского учета и отчетности Управления устанавливаются следующие квалификационные требования.</w:t>
      </w:r>
    </w:p>
    <w:p>
      <w:pPr>
        <w:pStyle w:val="11"/>
        <w:shd w:val="clear" w:color="auto" w:fill="auto"/>
        <w:tabs>
          <w:tab w:val="clear" w:pos="708"/>
          <w:tab w:val="right" w:pos="9206" w:leader="underscore"/>
        </w:tabs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2.2. Базовые квалификационные требования.</w:t>
      </w:r>
    </w:p>
    <w:p>
      <w:pPr>
        <w:pStyle w:val="Normal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2.2.1 высшее образование по направлению деятельности не ниже уровня бакалавриата.</w:t>
      </w:r>
    </w:p>
    <w:p>
      <w:pPr>
        <w:pStyle w:val="Normal"/>
        <w:ind w:firstLine="709"/>
        <w:jc w:val="both"/>
        <w:rPr/>
      </w:pPr>
      <w:r>
        <w:rPr>
          <w:rStyle w:val="41"/>
          <w:rFonts w:ascii="Times New Roman" w:hAnsi="Times New Roman"/>
          <w:i w:val="false"/>
          <w:sz w:val="28"/>
          <w:szCs w:val="28"/>
        </w:rPr>
        <w:t xml:space="preserve">2.2.2 </w:t>
      </w:r>
      <w:r>
        <w:rPr>
          <w:rFonts w:ascii="Times New Roman" w:hAnsi="Times New Roman"/>
          <w:sz w:val="28"/>
          <w:szCs w:val="28"/>
        </w:rPr>
        <w:t>требований к стажу гражданской службы или работы по специальности, направлению подготовки не установлено.</w:t>
      </w:r>
    </w:p>
    <w:p>
      <w:pPr>
        <w:pStyle w:val="11"/>
        <w:shd w:val="clear" w:color="auto" w:fill="auto"/>
        <w:tabs>
          <w:tab w:val="clear" w:pos="708"/>
          <w:tab w:val="left" w:pos="2015" w:leader="underscore"/>
          <w:tab w:val="left" w:pos="8284" w:leader="underscore"/>
        </w:tabs>
        <w:spacing w:lineRule="auto" w:line="240"/>
        <w:ind w:left="709" w:hanging="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2.2.3. Базовые знания: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знание государственного языка Российской Федерации (русского языка);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знания основ Конституции Российской Федерации, законодательства Российской Федерации о государственной гражданской службе Российской Федерации, законодательства Российской Федерации о противодействии коррупции;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знания в области информационно-коммуникационных технологий.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2.2.4. Базовые умения: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соблюдать этику делового общения;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планировать и рационально использовать рабочее время;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коммуникативные умения;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умение совершенствовать свой профессиональный уровень;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умения в области информационно-коммуникационных технологий;</w:t>
      </w:r>
    </w:p>
    <w:p>
      <w:pPr>
        <w:pStyle w:val="11"/>
        <w:shd w:val="clear" w:color="auto" w:fill="auto"/>
        <w:tabs>
          <w:tab w:val="clear" w:pos="708"/>
          <w:tab w:val="left" w:pos="1299" w:leader="none"/>
        </w:tabs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2.3. Профессионально-функциональные квалификационные требования.</w:t>
      </w:r>
    </w:p>
    <w:p>
      <w:pPr>
        <w:pStyle w:val="11"/>
        <w:numPr>
          <w:ilvl w:val="2"/>
          <w:numId w:val="2"/>
        </w:numPr>
        <w:shd w:val="clear" w:color="auto" w:fill="auto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Знания в сфере законодательства Российской Федерации: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Бюджетного кодекса Российской Федерации;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ru-RU"/>
        </w:rPr>
        <w:t>- Федерального закона от 06.12.2011 №  402-ФЗ «О бухгалтерском учете»;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ru-RU"/>
        </w:rPr>
        <w:t>- приказа Минфина Российской Федерации     от 01.12.2010  №  157н «Об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ru-RU"/>
        </w:rPr>
        <w:t>- Плана счетов бюджетного учета и Инструкции по его применению, утвержденных приказом</w:t>
      </w:r>
      <w:r>
        <w:rPr>
          <w:b/>
          <w:bCs/>
          <w:color w:val="000000"/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/>
        </w:rPr>
        <w:t>Министерства финансов Российской Федерации от 06.12.2010  №  162н «Об утверждении плана счетов бюджетного учета и инструкции по его применению»;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ru-RU"/>
        </w:rPr>
        <w:t>- федеральных стандартов бухгалтерского учета;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ru-RU"/>
        </w:rPr>
        <w:t>- приказа Минфина России от 28.12.2010  №  191н «Об утверждении Инструкции о порядке составления и представления годовой, квартальной и месячной отчетности об исполнении бюджетов  бюджетной системы Российской Федерации»;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ru-RU"/>
        </w:rPr>
        <w:t>- приказа Минфина России от 01.07.2013 №  65н «Об утверждении Указаний о порядке  применения бюджетной классификации Российской Федерации»;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ru-RU"/>
        </w:rPr>
        <w:t xml:space="preserve">- </w:t>
      </w:r>
      <w:r>
        <w:rPr>
          <w:sz w:val="28"/>
          <w:szCs w:val="28"/>
        </w:rPr>
        <w:t>практики применения законодательства о бухгалтерском учете.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Иные профессиональные знания: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знание методов бюджетного планирования;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знание принципов бюджетного учета и отчетности;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порядок составления сводных учетных документов в целях осуществления контроля и упорядочения обработки данных о фактах хозяйственной жизни;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основы информатики и вычислительной техники.</w:t>
      </w:r>
    </w:p>
    <w:p>
      <w:pPr>
        <w:pStyle w:val="11"/>
        <w:numPr>
          <w:ilvl w:val="2"/>
          <w:numId w:val="2"/>
        </w:numPr>
        <w:shd w:val="clear" w:color="auto" w:fill="auto"/>
        <w:spacing w:lineRule="auto" w:line="24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Умения: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работа с законодательными и иными нормативными правовыми актами Российской Федерации;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организация и обеспечение выполнения задач;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умение пользоваться компьютерными программами для ведения бухгалтерского учета, информационными и справочно-правовыми системами, оргтехникой;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составление (оформление) первичных учетных документов, в том числе электронных документов;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владение приемами комплексной проверки первичных учетных документов;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обеспечение сохранности первичных учетных документов до передачи их в архив;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составление бухгалтерских записей в соответствии с рабочим планом счетов;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ведение деловых переговоров, подготовка делового письма, проектов нормативных актов;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анализ и прогнозирование;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основы делопроизводства;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организация работы по эффективному взаимодействию с организациями, государственными органами, органами местного самоуправления и гражданами;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- адаптация к новой ситуации и принятия новых подходов в решении поставленных задач;</w:t>
      </w:r>
    </w:p>
    <w:p>
      <w:pPr>
        <w:pStyle w:val="11"/>
        <w:shd w:val="clear" w:color="auto" w:fill="auto"/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1"/>
        <w:shd w:val="clear" w:color="auto" w:fill="auto"/>
        <w:tabs>
          <w:tab w:val="clear" w:pos="708"/>
          <w:tab w:val="left" w:pos="2777" w:leader="none"/>
        </w:tabs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en-US"/>
        </w:rPr>
        <w:t>III</w:t>
      </w:r>
      <w:r>
        <w:rPr>
          <w:sz w:val="28"/>
          <w:szCs w:val="28"/>
        </w:rPr>
        <w:t xml:space="preserve">. Должностные обязанности, права и ответственность </w:t>
      </w:r>
    </w:p>
    <w:p>
      <w:pPr>
        <w:pStyle w:val="11"/>
        <w:shd w:val="clear" w:color="auto" w:fill="auto"/>
        <w:tabs>
          <w:tab w:val="clear" w:pos="708"/>
          <w:tab w:val="left" w:pos="2777" w:leader="none"/>
        </w:tabs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3.1. Основные права и обязанности </w:t>
      </w:r>
      <w:r>
        <w:rPr>
          <w:rFonts w:cs="Times New Roman" w:ascii="Times New Roman" w:hAnsi="Times New Roman"/>
          <w:sz w:val="28"/>
          <w:szCs w:val="28"/>
          <w:lang w:val="ru-RU" w:eastAsia="ru-RU"/>
        </w:rPr>
        <w:t>главного специалиста-эксперта отдела бухгалтерского учета и отчетности</w:t>
      </w:r>
      <w:r>
        <w:rPr>
          <w:rFonts w:cs="Times New Roman" w:ascii="Times New Roman" w:hAnsi="Times New Roman"/>
          <w:sz w:val="28"/>
          <w:szCs w:val="28"/>
        </w:rPr>
        <w:t>, а также ограничения, запреты и требования к служебному поведению, установлены статьями 14 - 18 Федерального закона от 27 июля 2004 г. № 79-ФЗ «О государственной гражданской службе Российской Федерации».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Style w:val="41"/>
          <w:rFonts w:cs="Times New Roman" w:ascii="Times New Roman" w:hAnsi="Times New Roman"/>
          <w:i w:val="false"/>
          <w:iCs w:val="false"/>
          <w:sz w:val="28"/>
          <w:szCs w:val="28"/>
          <w:lang w:val="ru-RU" w:eastAsia="ru-RU"/>
        </w:rPr>
        <w:t>3.2.</w:t>
      </w:r>
      <w:r>
        <w:rPr>
          <w:rStyle w:val="41"/>
          <w:rFonts w:cs="Times New Roman" w:ascii="Times New Roman" w:hAnsi="Times New Roman"/>
          <w:i w:val="false"/>
          <w:iCs w:val="false"/>
          <w:sz w:val="28"/>
          <w:szCs w:val="28"/>
        </w:rPr>
        <w:t xml:space="preserve">  В целях реализации задач и функций, возложенных на о</w:t>
      </w:r>
      <w:r>
        <w:rPr>
          <w:rStyle w:val="41"/>
          <w:rFonts w:cs="Times New Roman" w:ascii="Times New Roman" w:hAnsi="Times New Roman"/>
          <w:i w:val="false"/>
          <w:iCs w:val="false"/>
          <w:sz w:val="28"/>
          <w:szCs w:val="28"/>
          <w:lang w:val="ru-RU" w:eastAsia="ru-RU"/>
        </w:rPr>
        <w:t>тдел бухгалтерского учета и отчетности</w:t>
      </w:r>
      <w:r>
        <w:rPr>
          <w:rStyle w:val="41"/>
          <w:rFonts w:cs="Times New Roman" w:ascii="Times New Roman" w:hAnsi="Times New Roman"/>
          <w:i w:val="false"/>
          <w:iCs w:val="false"/>
          <w:sz w:val="28"/>
          <w:szCs w:val="28"/>
        </w:rPr>
        <w:t xml:space="preserve">, </w:t>
      </w:r>
      <w:r>
        <w:rPr>
          <w:rStyle w:val="41"/>
          <w:rFonts w:cs="Times New Roman" w:ascii="Times New Roman" w:hAnsi="Times New Roman"/>
          <w:i w:val="false"/>
          <w:iCs w:val="false"/>
          <w:sz w:val="28"/>
          <w:szCs w:val="28"/>
          <w:lang w:val="ru-RU" w:eastAsia="ru-RU"/>
        </w:rPr>
        <w:t>главный специалист-эксперт</w:t>
      </w:r>
      <w:r>
        <w:rPr>
          <w:rStyle w:val="41"/>
          <w:rFonts w:cs="Times New Roman" w:ascii="Times New Roman" w:hAnsi="Times New Roman"/>
          <w:b/>
          <w:i w:val="false"/>
          <w:iCs w:val="false"/>
          <w:sz w:val="28"/>
          <w:szCs w:val="28"/>
        </w:rPr>
        <w:t xml:space="preserve"> </w:t>
      </w:r>
      <w:r>
        <w:rPr>
          <w:rStyle w:val="41"/>
          <w:rFonts w:cs="Times New Roman" w:ascii="Times New Roman" w:hAnsi="Times New Roman"/>
          <w:i w:val="false"/>
          <w:iCs w:val="false"/>
          <w:sz w:val="28"/>
          <w:szCs w:val="28"/>
        </w:rPr>
        <w:t>обязан: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Style w:val="41"/>
          <w:rFonts w:cs="Times New Roman" w:ascii="Times New Roman" w:hAnsi="Times New Roman"/>
          <w:i w:val="false"/>
          <w:iCs w:val="false"/>
          <w:sz w:val="28"/>
          <w:szCs w:val="28"/>
        </w:rPr>
        <w:t>-</w:t>
      </w:r>
      <w:r>
        <w:rPr>
          <w:rStyle w:val="41"/>
          <w:rFonts w:cs="Times New Roman" w:ascii="Times New Roman" w:hAnsi="Times New Roman"/>
          <w:i w:val="false"/>
          <w:iCs w:val="false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осуществлять регистрацию данных, содержащихся в первичных учетных документах, в регистрах бухгалтерского учета;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- осуществлять </w:t>
      </w:r>
      <w:r>
        <w:rPr>
          <w:rFonts w:ascii="Times New Roman" w:hAnsi="Times New Roman"/>
          <w:sz w:val="28"/>
          <w:szCs w:val="28"/>
        </w:rPr>
        <w:t>комплексную проверку первичных учетных документов в отношении формы, полноты оформления, реквизитов;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осуществлять подготовку данных по материальным ценностям для  бухгалтерского учета и составления бухгалтерской отчетности;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контролировать  правильность оформления путевых листов;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вести учет поступления, списания топлива и горюче-смазочных материалов своевременно в разрезе  материально ответственны лиц;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рассчитывать нормы расхода ГСМ в зимний и летний периоды на каждый автомобиль;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своевременно оформлять поступление, перемещение и списание материальных ценностей в соответствии с нормативами (в том числе на забалансовых счетах);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рассчитывать остаточную стоимость форменной одежды на указанную дату;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своевременно формировать журнал операций по выбытию и перемещению НФА “Материалы”;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периодически производить сверку показаний одометров на соответствие путевым листам;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ежемесячно производить анализ ГСМ по каждому автомобилю;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составлять договоры о материальной ответственности с лицами  младшего обслуживающего персонала (водители);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участвовать в работе по инвентаризации товарно-материальных ценностей, расчетов с поставщиками и подрядчиками, руководствуясь инструкцией по бюджетному учету;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вести учет основных средств на период отсутствия специалиста;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осуществлять учет расчетов с подотчетными лицами, своевременно формировать журнал операций расчетов с подотчетными лицами;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вести учет операций расчетов с поставщиками и подрядчиками, своевременно проводить сверки платежей с поставщиками и подрядчиками;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своевременно формировать</w:t>
      </w:r>
      <w:r>
        <w:rPr>
          <w:rFonts w:ascii="Times New Roman" w:hAnsi="Times New Roman"/>
          <w:sz w:val="28"/>
          <w:szCs w:val="28"/>
        </w:rPr>
        <w:t xml:space="preserve">  Журнал операций с поставщиками и подрядчиками;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осуществлять</w:t>
      </w:r>
      <w:r>
        <w:rPr>
          <w:rFonts w:ascii="Times New Roman" w:hAnsi="Times New Roman"/>
          <w:sz w:val="28"/>
          <w:szCs w:val="28"/>
        </w:rPr>
        <w:t xml:space="preserve"> мониторинг дебиторской и кредиторской задолженности, которые отражают взаимодействие с поставщиками;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- осуществлять</w:t>
      </w:r>
      <w:r>
        <w:rPr>
          <w:rFonts w:ascii="Times New Roman" w:hAnsi="Times New Roman"/>
          <w:sz w:val="28"/>
          <w:szCs w:val="28"/>
        </w:rPr>
        <w:t xml:space="preserve"> контроль над исполнением контрактных обязательств с поставщиками в части оплаты поставок;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осуществлять подготовку информации для составления оборотно-сальдовой ведомости, главной книги;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систематизировать и комплектовать регистры бухгалтерского учета за отчетный период;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оформлять доверенности на получение товарно-материальных ценностей;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подготавливать проекты государственных контрактов и дополнительных соглашений к ним;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готовить различные справки, готовить ответы на запросы, содержащие информацию, формируемую в системе бухгалтерского учета;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выявлять случаи нарушения ответственными лицами графика документооборота и порядка представления в бухгалтерскую службу первичных учетных документов и информировать об этом начальника отдела бухгалтерского учета и отчетности;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организовывать делопроизводство в отделе бухгалтерского учета и отчетности;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осуществлять внутренний контроль совершаемых операций бухгалтерского учета;</w:t>
      </w:r>
    </w:p>
    <w:p>
      <w:pPr>
        <w:pStyle w:val="ConsPlusNormal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обеспечивать в пределах своей компетенции защиту сведений ограниченного распространения.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 w:eastAsia="ru-RU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.3.  В целях исполнения возложенных должностных обязанностей </w:t>
      </w:r>
      <w:r>
        <w:rPr>
          <w:rFonts w:cs="Times New Roman" w:ascii="Times New Roman" w:hAnsi="Times New Roman"/>
          <w:sz w:val="28"/>
          <w:szCs w:val="28"/>
          <w:lang w:val="ru-RU" w:eastAsia="ru-RU"/>
        </w:rPr>
        <w:t>главный специалист-эксперт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имеет право на: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обеспечение надлежащих организационно-технических условий, необходимых для исполнения должностных обязанностей;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ознакомление с должностным регламентом и иными документами, определяющими его права и обязанности по замещаемой должности гражданской службы, критериями оценки эффективности исполнения должностных обязанностей, показателями результативности профессиональной служебной деятельности и условиями должностного роста;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отдых, обеспечиваемый установлением нормальной продолжительности служебного времени, предоставлением выходных дней и нерабочих праздничных дней, а также ежегодных оплачиваемых основного и дополнительных отпусков;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оплату труда и другие выплаты в соответствии с настоящим Федеральным законом, иными нормативными правовыми актами Российской Федерации и со служебным контрактом;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получение в установленном порядке информации и материалов, необходимых для исполнения должностных обязанностей, а также на внесение предложений о совершенствовании деятельности государственного органа;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доступ в установленном порядке к сведениям, составляющим государственную тайну, если исполнение должностных обязанностей связано с использованием таких сведений;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доступ в установленном порядке в связи с исполнением должностных обязанностей в государственные органы, органы местного самоуправления, общественные объединения и иные организации;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ознакомление с отзывами о его профессиональной служебной деятельности и другими документами до внесения их в его личное дело, материалами личного дела, а также на приобщение к личному делу его письменных объяснений и других документов и материалов;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защиту сведений о гражданском служащем;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должностной рост на конкурсной основе;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профессиональное развитие в порядке, установленном законодательством о государственной гражданской службе Российской Федерации и другими федеральными законами;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членство в профессиональном союзе;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рассмотрение индивидуальных служебных споров в соответствии с законодательством о государственной гражданской службе Российской Федерации и другими федеральными законами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проведение по его заявлению служебной проверки;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защиту своих прав и законных интересов на гражданской службе, включая обжалование в суд их нарушения;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медицинское страхование в соответствии с законодательством о государственной гражданской службе Российской Федерации и федеральным законом о медицинском страховании государственных служащих Российской Федерации;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государственную защиту своих жизни и здоровья, жизни и здоровья членов своей семьи, а также принадлежащего ему имущества;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государственное пенсионное обеспечение в соответствии с Федеральным законом от 15 декабря 2001 г. № 166-ФЗ «О государственном пенсионном обеспечении в Российской Федерации»;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- иные права, предоставленные законодательством Российской Федерации, приказами Роспотребнадзора и служебным контрактом.</w:t>
      </w:r>
    </w:p>
    <w:p>
      <w:pPr>
        <w:pStyle w:val="ConsPlusNormal"/>
        <w:widowControl w:val="false"/>
        <w:suppressAutoHyphens w:val="true"/>
        <w:bidi w:val="0"/>
        <w:ind w:left="0" w:right="0" w:firstLine="85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 w:eastAsia="ru-RU"/>
        </w:rPr>
        <w:t>3.4.</w:t>
      </w:r>
      <w:r>
        <w:rPr>
          <w:rFonts w:cs="Times New Roman" w:ascii="Times New Roman" w:hAnsi="Times New Roman"/>
          <w:sz w:val="28"/>
          <w:szCs w:val="28"/>
        </w:rPr>
        <w:t xml:space="preserve">  </w:t>
      </w:r>
      <w:r>
        <w:rPr>
          <w:rFonts w:cs="Times New Roman" w:ascii="Times New Roman" w:hAnsi="Times New Roman"/>
          <w:sz w:val="28"/>
          <w:szCs w:val="28"/>
          <w:lang w:val="ru-RU" w:eastAsia="ru-RU"/>
        </w:rPr>
        <w:t>Главный специалист-эксперт</w:t>
      </w: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осуществляет иные права и исполняет обязанности, предусмотренные законодательством Российской Федерации, приказами, распоряжениями и поручениями </w:t>
      </w:r>
      <w:r>
        <w:rPr>
          <w:rFonts w:cs="Times New Roman" w:ascii="Times New Roman" w:hAnsi="Times New Roman"/>
          <w:sz w:val="28"/>
          <w:szCs w:val="28"/>
          <w:lang w:val="ru-RU" w:eastAsia="ru-RU"/>
        </w:rPr>
        <w:t>руководителя управления</w:t>
      </w:r>
      <w:r>
        <w:rPr>
          <w:rFonts w:cs="Times New Roman" w:ascii="Times New Roman" w:hAnsi="Times New Roman"/>
          <w:sz w:val="28"/>
          <w:szCs w:val="28"/>
        </w:rPr>
        <w:t>, заместителя руководителя управления, н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>ачальника отдела бухгалтерского учета и отчетности, заместителя начальника отдела бухгалтерского учета и отчетности.</w:t>
      </w:r>
    </w:p>
    <w:p>
      <w:pPr>
        <w:pStyle w:val="ConsPlusNormal"/>
        <w:widowControl w:val="false"/>
        <w:shd w:val="clear" w:color="auto" w:fill="auto"/>
        <w:tabs>
          <w:tab w:val="clear" w:pos="708"/>
          <w:tab w:val="left" w:pos="4902" w:leader="none"/>
        </w:tabs>
        <w:suppressAutoHyphens w:val="true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i w:val="false"/>
          <w:iCs w:val="false"/>
          <w:sz w:val="28"/>
          <w:szCs w:val="28"/>
          <w:lang w:val="ru-RU" w:eastAsia="ru-RU"/>
        </w:rPr>
        <w:t>3.5.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  </w:t>
      </w:r>
      <w:r>
        <w:rPr>
          <w:rFonts w:cs="Times New Roman" w:ascii="Times New Roman" w:hAnsi="Times New Roman"/>
          <w:i w:val="false"/>
          <w:iCs w:val="false"/>
          <w:sz w:val="28"/>
          <w:szCs w:val="28"/>
          <w:lang w:val="ru-RU" w:eastAsia="ru-RU"/>
        </w:rPr>
        <w:t>Главный специалист-эксперт</w:t>
      </w:r>
      <w:r>
        <w:rPr>
          <w:rFonts w:cs="Times New Roman" w:ascii="Times New Roman" w:hAnsi="Times New Roman"/>
          <w:b/>
          <w:i w:val="false"/>
          <w:iCs w:val="false"/>
          <w:sz w:val="28"/>
          <w:szCs w:val="28"/>
        </w:rPr>
        <w:t xml:space="preserve"> </w:t>
      </w:r>
      <w:r>
        <w:rPr>
          <w:rFonts w:cs="Times New Roman" w:ascii="Times New Roman" w:hAnsi="Times New Roman"/>
          <w:i w:val="false"/>
          <w:iCs w:val="false"/>
          <w:sz w:val="28"/>
          <w:szCs w:val="28"/>
          <w:lang w:val="ru-RU" w:eastAsia="ru-RU"/>
        </w:rPr>
        <w:t>за неисполнение</w:t>
      </w:r>
      <w:r>
        <w:rPr>
          <w:rFonts w:cs="Times New Roman" w:ascii="Times New Roman" w:hAnsi="Times New Roman"/>
          <w:i w:val="false"/>
          <w:iCs w:val="false"/>
          <w:sz w:val="28"/>
          <w:szCs w:val="28"/>
        </w:rPr>
        <w:t xml:space="preserve"> или ненадлежащее исполнение должностных обязанностей, несоблюдение ограничений и запретов, требований к служебному поведению может быть привлечен к</w:t>
      </w:r>
      <w:r>
        <w:rPr>
          <w:rFonts w:cs="Times New Roman" w:ascii="Times New Roman" w:hAnsi="Times New Roman"/>
          <w:sz w:val="28"/>
          <w:szCs w:val="28"/>
        </w:rPr>
        <w:t xml:space="preserve"> дисциплинарной, административной, гражданско-правовой или уголовной ответственности в соответствии с законодательством Российской Федерации.</w:t>
      </w:r>
    </w:p>
    <w:p>
      <w:pPr>
        <w:pStyle w:val="11"/>
        <w:shd w:val="clear" w:color="auto" w:fill="auto"/>
        <w:tabs>
          <w:tab w:val="clear" w:pos="708"/>
          <w:tab w:val="left" w:pos="1386" w:leader="none"/>
        </w:tabs>
        <w:spacing w:lineRule="auto" w:line="240"/>
        <w:ind w:left="360" w:hanging="0"/>
        <w:jc w:val="center"/>
        <w:rPr>
          <w:lang w:val="en-US"/>
        </w:rPr>
      </w:pPr>
      <w:r>
        <w:rPr>
          <w:lang w:val="en-US"/>
        </w:rPr>
      </w:r>
    </w:p>
    <w:p>
      <w:pPr>
        <w:pStyle w:val="11"/>
        <w:shd w:val="clear" w:color="auto" w:fill="auto"/>
        <w:tabs>
          <w:tab w:val="clear" w:pos="708"/>
          <w:tab w:val="left" w:pos="1386" w:leader="none"/>
        </w:tabs>
        <w:spacing w:lineRule="auto" w:line="240"/>
        <w:ind w:left="360" w:hanging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  <w:lang w:val="en-US"/>
        </w:rPr>
        <w:t>IV</w:t>
      </w:r>
      <w:r>
        <w:rPr>
          <w:sz w:val="28"/>
          <w:szCs w:val="28"/>
        </w:rPr>
        <w:t xml:space="preserve">. Перечень вопросов, по которым гражданский служащий вправе или </w:t>
      </w:r>
    </w:p>
    <w:p>
      <w:pPr>
        <w:pStyle w:val="11"/>
        <w:shd w:val="clear" w:color="auto" w:fill="auto"/>
        <w:tabs>
          <w:tab w:val="clear" w:pos="708"/>
          <w:tab w:val="left" w:pos="1386" w:leader="none"/>
        </w:tabs>
        <w:spacing w:lineRule="auto" w:line="240"/>
        <w:ind w:left="360" w:hanging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обязан самостоятельно принимать управленческие и иные решения</w:t>
      </w:r>
    </w:p>
    <w:p>
      <w:pPr>
        <w:pStyle w:val="11"/>
        <w:shd w:val="clear" w:color="auto" w:fill="auto"/>
        <w:tabs>
          <w:tab w:val="clear" w:pos="708"/>
          <w:tab w:val="left" w:pos="1386" w:leader="none"/>
        </w:tabs>
        <w:spacing w:lineRule="auto" w:line="240"/>
        <w:ind w:left="360" w:hanging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42"/>
        <w:widowControl w:val="false"/>
        <w:shd w:val="clear" w:color="auto" w:fill="auto"/>
        <w:tabs>
          <w:tab w:val="clear" w:pos="708"/>
          <w:tab w:val="center" w:pos="5260" w:leader="none"/>
          <w:tab w:val="left" w:pos="5985" w:leader="none"/>
        </w:tabs>
        <w:bidi w:val="0"/>
        <w:spacing w:lineRule="auto" w:line="240"/>
        <w:ind w:left="0" w:right="0" w:firstLine="964"/>
        <w:jc w:val="both"/>
        <w:rPr/>
      </w:pPr>
      <w:r>
        <w:rPr>
          <w:rStyle w:val="41"/>
          <w:i w:val="false"/>
          <w:iCs w:val="false"/>
          <w:sz w:val="28"/>
          <w:szCs w:val="28"/>
        </w:rPr>
        <w:t>4.1. Главный</w:t>
      </w:r>
      <w:r>
        <w:rPr>
          <w:i w:val="false"/>
          <w:sz w:val="28"/>
          <w:szCs w:val="28"/>
        </w:rPr>
        <w:t xml:space="preserve"> специалист-эксперт отдела бухгалтерского учета и отчетности Управления вправе самостоятельно принимать управленческие и иные решения по следующим вопросам:</w:t>
      </w:r>
    </w:p>
    <w:p>
      <w:pPr>
        <w:pStyle w:val="42"/>
        <w:widowControl w:val="false"/>
        <w:shd w:val="clear" w:color="auto" w:fill="auto"/>
        <w:tabs>
          <w:tab w:val="clear" w:pos="708"/>
          <w:tab w:val="center" w:pos="5260" w:leader="none"/>
          <w:tab w:val="left" w:pos="5985" w:leader="none"/>
        </w:tabs>
        <w:bidi w:val="0"/>
        <w:spacing w:lineRule="auto" w:line="240"/>
        <w:ind w:left="0" w:right="0" w:firstLine="964"/>
        <w:jc w:val="both"/>
        <w:rPr/>
      </w:pPr>
      <w:r>
        <w:rPr>
          <w:i w:val="false"/>
          <w:sz w:val="28"/>
          <w:szCs w:val="28"/>
        </w:rPr>
        <w:t>- проведение инвентаризации материальных ценностей и расчетов с поставщиками и подрядчиками;</w:t>
      </w:r>
    </w:p>
    <w:p>
      <w:pPr>
        <w:pStyle w:val="42"/>
        <w:widowControl w:val="false"/>
        <w:shd w:val="clear" w:color="auto" w:fill="auto"/>
        <w:tabs>
          <w:tab w:val="clear" w:pos="708"/>
          <w:tab w:val="center" w:pos="5260" w:leader="none"/>
          <w:tab w:val="left" w:pos="5985" w:leader="none"/>
        </w:tabs>
        <w:bidi w:val="0"/>
        <w:spacing w:lineRule="auto" w:line="240"/>
        <w:ind w:left="0" w:right="0" w:firstLine="964"/>
        <w:jc w:val="both"/>
        <w:rPr/>
      </w:pPr>
      <w:r>
        <w:rPr>
          <w:i w:val="false"/>
          <w:sz w:val="28"/>
          <w:szCs w:val="28"/>
        </w:rPr>
        <w:t>- возврат первичных учетных документов поставщикам, подрядчикам в случае неполного оформления или неверных реквизитов;</w:t>
      </w:r>
    </w:p>
    <w:p>
      <w:pPr>
        <w:pStyle w:val="42"/>
        <w:widowControl w:val="false"/>
        <w:shd w:val="clear" w:color="auto" w:fill="auto"/>
        <w:tabs>
          <w:tab w:val="clear" w:pos="708"/>
          <w:tab w:val="center" w:pos="5260" w:leader="none"/>
          <w:tab w:val="left" w:pos="5985" w:leader="none"/>
        </w:tabs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i w:val="false"/>
          <w:sz w:val="28"/>
          <w:szCs w:val="28"/>
        </w:rPr>
        <w:t>- расчет остаточной стоимости форменной одежды;</w:t>
      </w:r>
    </w:p>
    <w:p>
      <w:pPr>
        <w:pStyle w:val="42"/>
        <w:widowControl w:val="false"/>
        <w:shd w:val="clear" w:color="auto" w:fill="auto"/>
        <w:tabs>
          <w:tab w:val="clear" w:pos="708"/>
          <w:tab w:val="center" w:pos="5260" w:leader="none"/>
          <w:tab w:val="left" w:pos="5985" w:leader="none"/>
        </w:tabs>
        <w:bidi w:val="0"/>
        <w:spacing w:lineRule="auto" w:line="240"/>
        <w:ind w:left="0" w:right="0" w:firstLine="850"/>
        <w:jc w:val="both"/>
        <w:rPr>
          <w:rFonts w:ascii="Times New Roman" w:hAnsi="Times New Roman"/>
          <w:i w:val="false"/>
          <w:i w:val="false"/>
          <w:iCs w:val="false"/>
          <w:sz w:val="28"/>
          <w:szCs w:val="28"/>
        </w:rPr>
      </w:pPr>
      <w:r>
        <w:rPr>
          <w:i w:val="false"/>
          <w:iCs w:val="false"/>
          <w:sz w:val="28"/>
          <w:szCs w:val="28"/>
        </w:rPr>
        <w:t>- делопроизводство в отделе бухгалтерского учета и отчетности.</w:t>
      </w:r>
    </w:p>
    <w:p>
      <w:pPr>
        <w:pStyle w:val="42"/>
        <w:widowControl w:val="false"/>
        <w:shd w:val="clear" w:color="auto" w:fill="auto"/>
        <w:tabs>
          <w:tab w:val="clear" w:pos="708"/>
          <w:tab w:val="right" w:pos="5870" w:leader="underscore"/>
          <w:tab w:val="left" w:pos="6074" w:leader="none"/>
        </w:tabs>
        <w:bidi w:val="0"/>
        <w:spacing w:lineRule="auto" w:line="240"/>
        <w:ind w:left="0" w:right="0" w:firstLine="850"/>
        <w:jc w:val="both"/>
        <w:rPr/>
      </w:pPr>
      <w:r>
        <w:rPr>
          <w:rStyle w:val="41"/>
          <w:i w:val="false"/>
          <w:iCs w:val="false"/>
          <w:sz w:val="28"/>
          <w:szCs w:val="28"/>
        </w:rPr>
        <w:t>4.2. Главный</w:t>
      </w:r>
      <w:r>
        <w:rPr>
          <w:i w:val="false"/>
          <w:sz w:val="28"/>
          <w:szCs w:val="28"/>
        </w:rPr>
        <w:t xml:space="preserve"> специалист-эксперт отдела бухгалтерского учета и отчетности Управления обязан самостоятельно принимать управленческие и иные решения по следующим вопросам: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i w:val="false"/>
          <w:sz w:val="28"/>
          <w:szCs w:val="28"/>
        </w:rPr>
        <w:t>- оформление путевых листов;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i w:val="false"/>
          <w:sz w:val="28"/>
          <w:szCs w:val="28"/>
        </w:rPr>
        <w:t>- оформление доверенностей на получение ТМЦ;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i w:val="false"/>
          <w:sz w:val="28"/>
          <w:szCs w:val="28"/>
        </w:rPr>
        <w:t>- сверка платежей с поставщиками и подрядчиками;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i w:val="false"/>
          <w:sz w:val="28"/>
          <w:szCs w:val="28"/>
        </w:rPr>
        <w:t>- расчет норм расхода ГСМ;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i w:val="false"/>
          <w:sz w:val="28"/>
          <w:szCs w:val="28"/>
        </w:rPr>
        <w:t>- документарное подтверждение расходов и соответствие их нормативам в служебных командировках.</w:t>
      </w:r>
    </w:p>
    <w:p>
      <w:pPr>
        <w:pStyle w:val="42"/>
        <w:shd w:val="clear" w:color="auto" w:fill="auto"/>
        <w:spacing w:lineRule="auto" w:line="240"/>
        <w:ind w:firstLine="709"/>
        <w:rPr>
          <w:rFonts w:ascii="Times New Roman" w:hAnsi="Times New Roman"/>
          <w:i w:val="false"/>
          <w:i w:val="false"/>
          <w:sz w:val="28"/>
          <w:szCs w:val="28"/>
        </w:rPr>
      </w:pPr>
      <w:r>
        <w:rPr>
          <w:i w:val="false"/>
          <w:sz w:val="28"/>
          <w:szCs w:val="28"/>
        </w:rPr>
      </w:r>
    </w:p>
    <w:p>
      <w:pPr>
        <w:pStyle w:val="11"/>
        <w:shd w:val="clear" w:color="auto" w:fill="auto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>V. Перечень вопросов, по которым гражданский служащий вправе</w:t>
      </w:r>
    </w:p>
    <w:p>
      <w:pPr>
        <w:pStyle w:val="11"/>
        <w:shd w:val="clear" w:color="auto" w:fill="auto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или обязан участвовать при подготовке проектов правовых актов</w:t>
      </w:r>
    </w:p>
    <w:p>
      <w:pPr>
        <w:pStyle w:val="11"/>
        <w:shd w:val="clear" w:color="auto" w:fill="auto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 (или) проектов управленческих и иных решений</w:t>
      </w:r>
    </w:p>
    <w:p>
      <w:pPr>
        <w:pStyle w:val="11"/>
        <w:shd w:val="clear" w:color="auto" w:fill="auto"/>
        <w:spacing w:lineRule="auto" w:line="24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42"/>
        <w:widowControl w:val="false"/>
        <w:shd w:val="clear" w:color="auto" w:fill="auto"/>
        <w:tabs>
          <w:tab w:val="clear" w:pos="708"/>
          <w:tab w:val="right" w:pos="6858" w:leader="none"/>
          <w:tab w:val="right" w:pos="9172" w:leader="none"/>
        </w:tabs>
        <w:bidi w:val="0"/>
        <w:spacing w:lineRule="auto" w:line="240"/>
        <w:ind w:left="0" w:right="0" w:firstLine="850"/>
        <w:jc w:val="both"/>
        <w:rPr/>
      </w:pPr>
      <w:r>
        <w:rPr>
          <w:rStyle w:val="41"/>
          <w:i w:val="false"/>
          <w:iCs w:val="false"/>
          <w:sz w:val="28"/>
          <w:szCs w:val="28"/>
          <w:u w:val="none"/>
        </w:rPr>
        <w:t>5.1. Главный</w:t>
      </w:r>
      <w:r>
        <w:rPr>
          <w:i w:val="false"/>
          <w:sz w:val="28"/>
          <w:szCs w:val="28"/>
          <w:u w:val="none"/>
        </w:rPr>
        <w:t xml:space="preserve"> </w:t>
      </w:r>
      <w:r>
        <w:rPr>
          <w:i w:val="false"/>
          <w:sz w:val="28"/>
          <w:szCs w:val="28"/>
        </w:rPr>
        <w:t>специалист-эксперт отдела бухгалтерского учета и отчетности Управления вправе принимать участие в подготовке следующих проектов правовых актов и (или) проектов управленческих и иных решений: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i w:val="false"/>
          <w:i w:val="false"/>
        </w:rPr>
      </w:pPr>
      <w:r>
        <w:rPr>
          <w:i w:val="false"/>
          <w:sz w:val="28"/>
          <w:szCs w:val="28"/>
        </w:rPr>
        <w:t>- приказов о проведении инвентаризации материальных ценностей и расчетов с поставщиками и подрядчиками;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i w:val="false"/>
          <w:i w:val="false"/>
        </w:rPr>
      </w:pPr>
      <w:r>
        <w:rPr>
          <w:i w:val="false"/>
          <w:sz w:val="28"/>
          <w:szCs w:val="28"/>
        </w:rPr>
        <w:t>- приказов по нормированию;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i w:val="false"/>
          <w:i w:val="false"/>
        </w:rPr>
      </w:pPr>
      <w:r>
        <w:rPr>
          <w:i w:val="false"/>
          <w:sz w:val="28"/>
          <w:szCs w:val="28"/>
        </w:rPr>
        <w:t>- ведомостей на выдачу ТМЦ;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i w:val="false"/>
          <w:i w:val="false"/>
        </w:rPr>
      </w:pPr>
      <w:r>
        <w:rPr>
          <w:i w:val="false"/>
          <w:sz w:val="28"/>
          <w:szCs w:val="28"/>
        </w:rPr>
        <w:t>- приказов на передачу автотранспортных средств.</w:t>
      </w:r>
    </w:p>
    <w:p>
      <w:pPr>
        <w:pStyle w:val="42"/>
        <w:widowControl w:val="false"/>
        <w:shd w:val="clear" w:color="auto" w:fill="auto"/>
        <w:tabs>
          <w:tab w:val="clear" w:pos="708"/>
          <w:tab w:val="right" w:pos="6858" w:leader="none"/>
          <w:tab w:val="right" w:pos="9172" w:leader="none"/>
        </w:tabs>
        <w:bidi w:val="0"/>
        <w:spacing w:lineRule="auto" w:line="240"/>
        <w:ind w:left="0" w:right="0" w:firstLine="850"/>
        <w:jc w:val="both"/>
        <w:rPr/>
      </w:pPr>
      <w:r>
        <w:rPr>
          <w:rStyle w:val="41"/>
          <w:i w:val="false"/>
          <w:iCs w:val="false"/>
          <w:sz w:val="28"/>
          <w:szCs w:val="28"/>
        </w:rPr>
        <w:t xml:space="preserve">5.2. Главный </w:t>
      </w:r>
      <w:r>
        <w:rPr>
          <w:i w:val="false"/>
          <w:sz w:val="28"/>
          <w:szCs w:val="28"/>
        </w:rPr>
        <w:t>специалист-эксперт отдела бухгалтерского учета и отчетности Управления обязан принимать участие в подготовке следующих проектов правовых актов и (или) проектов управленческих и иных решений: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i w:val="false"/>
          <w:i w:val="false"/>
        </w:rPr>
      </w:pPr>
      <w:r>
        <w:rPr>
          <w:i w:val="false"/>
          <w:sz w:val="28"/>
          <w:szCs w:val="28"/>
        </w:rPr>
        <w:t>- приказов о работе автотранспорта;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i w:val="false"/>
          <w:i w:val="false"/>
        </w:rPr>
      </w:pPr>
      <w:r>
        <w:rPr>
          <w:i w:val="false"/>
          <w:sz w:val="28"/>
          <w:szCs w:val="28"/>
        </w:rPr>
        <w:t>- приказов об использовании средств подвижной связи;</w:t>
      </w:r>
    </w:p>
    <w:p>
      <w:pPr>
        <w:pStyle w:val="42"/>
        <w:widowControl w:val="false"/>
        <w:shd w:val="clear" w:color="auto" w:fill="auto"/>
        <w:bidi w:val="0"/>
        <w:spacing w:lineRule="auto" w:line="240"/>
        <w:ind w:left="0" w:right="0" w:firstLine="850"/>
        <w:jc w:val="both"/>
        <w:rPr>
          <w:i w:val="false"/>
          <w:i w:val="false"/>
        </w:rPr>
      </w:pPr>
      <w:r>
        <w:rPr>
          <w:i w:val="false"/>
          <w:sz w:val="28"/>
          <w:szCs w:val="28"/>
        </w:rPr>
        <w:t>- приказов о нормах расхода ГСМ.</w:t>
      </w:r>
    </w:p>
    <w:p>
      <w:pPr>
        <w:pStyle w:val="42"/>
        <w:shd w:val="clear" w:color="auto" w:fill="auto"/>
        <w:spacing w:lineRule="auto" w:line="240"/>
        <w:ind w:firstLine="709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1"/>
        <w:shd w:val="clear" w:color="auto" w:fill="auto"/>
        <w:spacing w:lineRule="auto" w:line="240"/>
        <w:jc w:val="center"/>
        <w:rPr/>
      </w:pPr>
      <w:r>
        <w:rPr>
          <w:sz w:val="28"/>
          <w:szCs w:val="28"/>
          <w:lang w:val="en-US"/>
        </w:rPr>
        <w:t>VI</w:t>
      </w:r>
      <w:r>
        <w:rPr>
          <w:sz w:val="28"/>
          <w:szCs w:val="28"/>
        </w:rPr>
        <w:t>. Сроки и процедуры подготовки, рассмотрения проектов управленческих и иных решений, порядок согласования и принятия данных решений</w:t>
      </w:r>
    </w:p>
    <w:p>
      <w:pPr>
        <w:pStyle w:val="11"/>
        <w:shd w:val="clear" w:color="auto" w:fill="auto"/>
        <w:tabs>
          <w:tab w:val="clear" w:pos="708"/>
          <w:tab w:val="left" w:pos="2162" w:leader="none"/>
        </w:tabs>
        <w:spacing w:lineRule="auto" w:line="240"/>
        <w:ind w:left="360" w:hanging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ConsPlusNormal"/>
        <w:widowControl w:val="false"/>
        <w:shd w:val="clear" w:color="auto" w:fill="auto"/>
        <w:tabs>
          <w:tab w:val="clear" w:pos="708"/>
          <w:tab w:val="left" w:pos="709" w:leader="none"/>
          <w:tab w:val="left" w:pos="1345" w:leader="none"/>
        </w:tabs>
        <w:suppressAutoHyphens w:val="true"/>
        <w:bidi w:val="0"/>
        <w:spacing w:lineRule="auto" w:line="240"/>
        <w:ind w:left="0" w:right="0" w:firstLine="85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ru-RU" w:eastAsia="ru-RU"/>
        </w:rPr>
        <w:t>6</w:t>
      </w:r>
      <w:r>
        <w:rPr>
          <w:rFonts w:cs="Times New Roman" w:ascii="Times New Roman" w:hAnsi="Times New Roman"/>
          <w:sz w:val="28"/>
          <w:szCs w:val="28"/>
        </w:rPr>
        <w:t xml:space="preserve">.1.  Сроки и процедуры подготовки, рассмотрения проектов управленческих и иных решений, порядок согласования и принятия данных решений </w:t>
      </w:r>
      <w:r>
        <w:rPr>
          <w:rFonts w:cs="Times New Roman" w:ascii="Times New Roman" w:hAnsi="Times New Roman"/>
          <w:sz w:val="28"/>
          <w:szCs w:val="28"/>
          <w:lang w:val="ru-RU" w:eastAsia="ru-RU"/>
        </w:rPr>
        <w:t>главным специалистом-экспертом</w:t>
      </w:r>
      <w:bookmarkStart w:id="1" w:name="_GoBack"/>
      <w:bookmarkEnd w:id="1"/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ru-RU" w:eastAsia="ru-RU"/>
        </w:rPr>
        <w:t>определяются в</w:t>
      </w:r>
      <w:r>
        <w:rPr>
          <w:rFonts w:cs="Times New Roman" w:ascii="Times New Roman" w:hAnsi="Times New Roman"/>
          <w:sz w:val="28"/>
          <w:szCs w:val="28"/>
        </w:rPr>
        <w:t xml:space="preserve"> соответствии с Типовым регламентом взаимодействия федеральных органов исполнительной власти, утвержденным постановлением Правительства Российской Федерации от 19 января 2005 г. № 30, Типовым регламентом внутренней организации федеральных органов исполнительной власти, утвержденным постановлением Правительства Российской Федерации от 28 июля 2005 г. № 452, Правилами делопроизводства в государственных органах, органах местного самоуправления, утвержденными приказом Федерального архивного агентства от 22 мая 2019 г. № 71, а также иными нормативными правовыми актами Российской Федерации.</w:t>
      </w:r>
    </w:p>
    <w:p>
      <w:pPr>
        <w:pStyle w:val="11"/>
        <w:shd w:val="clear" w:color="auto" w:fill="auto"/>
        <w:spacing w:lineRule="auto" w:line="240"/>
        <w:ind w:firstLine="360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1"/>
        <w:shd w:val="clear" w:color="auto" w:fill="auto"/>
        <w:tabs>
          <w:tab w:val="clear" w:pos="708"/>
          <w:tab w:val="left" w:pos="1564" w:leader="none"/>
        </w:tabs>
        <w:spacing w:lineRule="auto" w:line="240"/>
        <w:ind w:left="360" w:hanging="0"/>
        <w:jc w:val="center"/>
        <w:rPr/>
      </w:pPr>
      <w:r>
        <w:rPr>
          <w:sz w:val="28"/>
          <w:szCs w:val="28"/>
          <w:lang w:val="en-US"/>
        </w:rPr>
        <w:t>VII</w:t>
      </w:r>
      <w:r>
        <w:rPr>
          <w:sz w:val="28"/>
          <w:szCs w:val="28"/>
        </w:rPr>
        <w:t xml:space="preserve">. Порядок служебного взаимодействия </w:t>
      </w:r>
    </w:p>
    <w:p>
      <w:pPr>
        <w:pStyle w:val="11"/>
        <w:shd w:val="clear" w:color="auto" w:fill="auto"/>
        <w:tabs>
          <w:tab w:val="clear" w:pos="708"/>
          <w:tab w:val="left" w:pos="1564" w:leader="none"/>
        </w:tabs>
        <w:spacing w:lineRule="auto" w:line="240"/>
        <w:ind w:left="360" w:hanging="0"/>
        <w:jc w:val="center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1"/>
        <w:widowControl w:val="false"/>
        <w:shd w:val="clear" w:color="auto" w:fill="auto"/>
        <w:tabs>
          <w:tab w:val="clear" w:pos="708"/>
          <w:tab w:val="right" w:pos="7487" w:leader="underscore"/>
          <w:tab w:val="right" w:pos="9221" w:leader="none"/>
        </w:tabs>
        <w:bidi w:val="0"/>
        <w:spacing w:lineRule="auto" w:line="240"/>
        <w:ind w:left="0" w:right="0" w:firstLine="907"/>
        <w:jc w:val="both"/>
        <w:rPr/>
      </w:pPr>
      <w:r>
        <w:rPr>
          <w:sz w:val="28"/>
          <w:szCs w:val="28"/>
        </w:rPr>
        <w:t xml:space="preserve">7.1. Взаимодействие </w:t>
        <w:tab/>
        <w:t>главного специалиста-эксперта отдела бухгалтерского учета и отчетности Управления с гражданскими служащими Управления, государственными служащими иных государственных органов, а также с другими гражданами и организациями строится в рамках деловых отношений на основе общих принципов служебного поведения гражданских служащих, утвержденных Указом Президента № 885, и требований к служебному поведению, установленных статьей 18 Федерального закона от 27 июля 2004 г. № 79-ФЗ «О государственной гражданской службе Российской Федерации», а также в соответствии с иными нормативными правовыми актами Российской Федерации.</w:t>
      </w:r>
    </w:p>
    <w:p>
      <w:pPr>
        <w:pStyle w:val="11"/>
        <w:shd w:val="clear" w:color="auto" w:fill="auto"/>
        <w:tabs>
          <w:tab w:val="clear" w:pos="708"/>
          <w:tab w:val="right" w:pos="7487" w:leader="underscore"/>
          <w:tab w:val="right" w:pos="9221" w:leader="none"/>
        </w:tabs>
        <w:spacing w:lineRule="auto" w:line="24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</w:r>
    </w:p>
    <w:p>
      <w:pPr>
        <w:pStyle w:val="11"/>
        <w:shd w:val="clear" w:color="auto" w:fill="auto"/>
        <w:spacing w:lineRule="auto" w:line="240"/>
        <w:jc w:val="center"/>
        <w:rPr/>
      </w:pPr>
      <w:r>
        <w:rPr>
          <w:sz w:val="28"/>
          <w:szCs w:val="28"/>
        </w:rPr>
        <w:t>VIII. Показатели эффективности и результативности</w:t>
      </w:r>
    </w:p>
    <w:p>
      <w:pPr>
        <w:pStyle w:val="11"/>
        <w:shd w:val="clear" w:color="auto" w:fill="auto"/>
        <w:spacing w:lineRule="auto" w:line="240"/>
        <w:jc w:val="center"/>
        <w:rPr/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профессиональной служебной деятельности</w:t>
      </w:r>
    </w:p>
    <w:p>
      <w:pPr>
        <w:pStyle w:val="11"/>
        <w:shd w:val="clear" w:color="auto" w:fill="auto"/>
        <w:spacing w:lineRule="auto" w:line="240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11"/>
        <w:widowControl w:val="false"/>
        <w:shd w:val="clear" w:color="auto" w:fill="auto"/>
        <w:tabs>
          <w:tab w:val="clear" w:pos="708"/>
          <w:tab w:val="right" w:pos="6015" w:leader="underscore"/>
          <w:tab w:val="right" w:pos="7719" w:leader="none"/>
          <w:tab w:val="right" w:pos="9221" w:leader="none"/>
        </w:tabs>
        <w:bidi w:val="0"/>
        <w:spacing w:lineRule="auto" w:line="240"/>
        <w:ind w:left="0" w:right="0" w:firstLine="850"/>
        <w:jc w:val="both"/>
        <w:rPr/>
      </w:pPr>
      <w:r>
        <w:rPr>
          <w:sz w:val="28"/>
          <w:szCs w:val="28"/>
        </w:rPr>
        <w:t xml:space="preserve">8.1. Эффективность и результативность профессиональной служебной </w:t>
      </w:r>
      <w:r>
        <w:rPr>
          <w:rStyle w:val="41"/>
          <w:i w:val="false"/>
          <w:iCs w:val="false"/>
          <w:sz w:val="28"/>
          <w:szCs w:val="28"/>
        </w:rPr>
        <w:t>деятельности главного</w:t>
      </w:r>
      <w:r>
        <w:rPr>
          <w:sz w:val="28"/>
          <w:szCs w:val="28"/>
        </w:rPr>
        <w:t xml:space="preserve"> специалиста-эксперта отдела бухгалтерского учета и отчетности Управления оценивается по следующим показателям: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отсутствию нарушений запретов, требований к служебному поведению и иных обязательств, установленных законодательством Российской Федерации о государственной гражданской службе;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качеству выполненной работы: подготовка документов в соответствии с установленными требованиями, полное и логичное изложение материала, юридически грамотное составление документов, отсутствие стилистических и грамматических ошибок;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количеству возвратов на доработку ранее подготовленных документов;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количеству повторных обращений по рассматриваемым вопросам; наличию у гражданского служащего поощрений за безупречную и эффективную службу;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оценке профессиональных, организаторских и личностных качеств гражданского служащего по результатам его профессиональной служебной деятельности и с учетом его аттестации, сдачи квалификационного экзамена или иных показателей;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выполняемому объему работы и интенсивности труда, способности сохранять высокую работоспособность в экстремальных условиях, соблюдению служебной дисциплины;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своевременности и оперативности выполнения поручений, рассмотрения обращений граждан и юридических лиц, соотношению количества своевременно выполненных к общему количеству индивидуальных поручений;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способности четко организовывать и планировать выполнение порученных заданий, умению рационально использовать рабочее время, расставлять приоритеты;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творческому подходу к решению поставленных задач, активности и инициативе в освоении новых компьютерных и информационных технологий;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способности быстро адаптироваться к новым условиям и требованиям, самостоятельности выполнения служебных обязанностей;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отсутствию жалоб граждан, юридических лиц на действия (бездействие) гражданского служащего;</w:t>
      </w:r>
    </w:p>
    <w:p>
      <w:pPr>
        <w:pStyle w:val="11"/>
        <w:widowControl w:val="false"/>
        <w:shd w:val="clear" w:color="auto" w:fill="auto"/>
        <w:bidi w:val="0"/>
        <w:spacing w:lineRule="auto" w:line="240"/>
        <w:ind w:left="0" w:right="0" w:firstLine="794"/>
        <w:jc w:val="both"/>
        <w:rPr/>
      </w:pPr>
      <w:r>
        <w:rPr>
          <w:sz w:val="28"/>
          <w:szCs w:val="28"/>
        </w:rPr>
        <w:t>- осознанию ответственности за последствия своих действий, принимаемых решений.</w:t>
      </w:r>
    </w:p>
    <w:p>
      <w:pPr>
        <w:pStyle w:val="11"/>
        <w:shd w:val="clear" w:color="auto" w:fill="auto"/>
        <w:spacing w:lineRule="auto" w:line="240"/>
        <w:ind w:firstLine="360"/>
        <w:jc w:val="both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11"/>
        <w:shd w:val="clear" w:color="auto" w:fill="auto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11"/>
        <w:shd w:val="clear" w:color="auto" w:fill="auto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11"/>
        <w:shd w:val="clear" w:color="auto" w:fill="auto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11"/>
        <w:shd w:val="clear" w:color="auto" w:fill="auto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11"/>
        <w:shd w:val="clear" w:color="auto" w:fill="auto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11"/>
        <w:shd w:val="clear" w:color="auto" w:fill="auto"/>
        <w:spacing w:lineRule="auto" w:line="240"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 w:val="false"/>
        <w:numPr>
          <w:ilvl w:val="0"/>
          <w:numId w:val="0"/>
        </w:numPr>
        <w:spacing w:lineRule="auto" w:line="240"/>
        <w:ind w:left="0" w:right="0" w:hanging="0"/>
        <w:jc w:val="center"/>
        <w:rPr/>
      </w:pPr>
      <w:r>
        <w:rPr>
          <w:rFonts w:cs="Times New Roman" w:ascii="Times New Roman" w:hAnsi="Times New Roman"/>
          <w:szCs w:val="20"/>
        </w:rPr>
        <w:t>Лист ознакомления</w:t>
      </w:r>
    </w:p>
    <w:p>
      <w:pPr>
        <w:pStyle w:val="Normal"/>
        <w:widowControl w:val="false"/>
        <w:spacing w:lineRule="auto" w:line="240"/>
        <w:rPr>
          <w:rFonts w:ascii="Times New Roman" w:hAnsi="Times New Roman" w:cs="Times New Roman"/>
          <w:szCs w:val="20"/>
        </w:rPr>
      </w:pPr>
      <w:r>
        <w:rPr>
          <w:rFonts w:cs="Times New Roman" w:ascii="Times New Roman" w:hAnsi="Times New Roman"/>
          <w:szCs w:val="20"/>
        </w:rPr>
      </w:r>
    </w:p>
    <w:tbl>
      <w:tblPr>
        <w:tblW w:w="9850" w:type="dxa"/>
        <w:jc w:val="left"/>
        <w:tblInd w:w="-87" w:type="dxa"/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41"/>
        <w:gridCol w:w="2039"/>
        <w:gridCol w:w="1871"/>
        <w:gridCol w:w="2706"/>
        <w:gridCol w:w="2493"/>
      </w:tblGrid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Cs w:val="20"/>
              </w:rPr>
              <w:t>№</w:t>
            </w:r>
            <w:r>
              <w:rPr>
                <w:rFonts w:eastAsia="Times New Roman" w:cs="Times New Roman" w:ascii="Times New Roman" w:hAnsi="Times New Roman"/>
                <w:szCs w:val="20"/>
              </w:rPr>
              <w:t xml:space="preserve"> </w:t>
            </w:r>
            <w:r>
              <w:rPr>
                <w:rFonts w:cs="Times New Roman" w:ascii="Times New Roman" w:hAnsi="Times New Roman"/>
                <w:szCs w:val="20"/>
              </w:rPr>
              <w:t>п/п</w:t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Cs w:val="20"/>
              </w:rPr>
              <w:t>Фамилия, имя, отчество</w:t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Cs w:val="20"/>
              </w:rPr>
              <w:t>Дата и роспись в ознакомлении</w:t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Cs w:val="20"/>
              </w:rPr>
              <w:t>Дата и номер приказа о назначении на должность</w:t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160"/>
              <w:jc w:val="center"/>
              <w:rPr/>
            </w:pPr>
            <w:r>
              <w:rPr>
                <w:rFonts w:cs="Times New Roman" w:ascii="Times New Roman" w:hAnsi="Times New Roman"/>
                <w:szCs w:val="20"/>
              </w:rPr>
              <w:t>Дата и номер приказа об освобождении от должности</w:t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160"/>
              <w:rPr>
                <w:rFonts w:ascii="Times New Roman" w:hAnsi="Times New Roman" w:cs="Times New Roman"/>
                <w:szCs w:val="20"/>
              </w:rPr>
            </w:pPr>
            <w:r>
              <w:rPr>
                <w:rFonts w:cs="Times New Roman" w:ascii="Times New Roman" w:hAnsi="Times New Roman"/>
                <w:szCs w:val="20"/>
              </w:rPr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160"/>
              <w:rPr>
                <w:rFonts w:ascii="Times New Roman" w:hAnsi="Times New Roman" w:cs="Times New Roman"/>
                <w:szCs w:val="20"/>
              </w:rPr>
            </w:pPr>
            <w:r>
              <w:rPr>
                <w:rFonts w:cs="Times New Roman" w:ascii="Times New Roman" w:hAnsi="Times New Roman"/>
                <w:szCs w:val="20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160"/>
              <w:rPr>
                <w:rFonts w:ascii="Times New Roman" w:hAnsi="Times New Roman" w:cs="Times New Roman"/>
                <w:szCs w:val="20"/>
              </w:rPr>
            </w:pPr>
            <w:r>
              <w:rPr>
                <w:rFonts w:cs="Times New Roman" w:ascii="Times New Roman" w:hAnsi="Times New Roman"/>
                <w:szCs w:val="20"/>
              </w:rPr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160"/>
              <w:rPr>
                <w:rFonts w:ascii="Times New Roman" w:hAnsi="Times New Roman" w:cs="Times New Roman"/>
                <w:szCs w:val="20"/>
              </w:rPr>
            </w:pPr>
            <w:r>
              <w:rPr>
                <w:rFonts w:cs="Times New Roman" w:ascii="Times New Roman" w:hAnsi="Times New Roman"/>
                <w:szCs w:val="20"/>
              </w:rPr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160"/>
              <w:rPr>
                <w:rFonts w:ascii="Times New Roman" w:hAnsi="Times New Roman" w:cs="Times New Roman"/>
                <w:szCs w:val="20"/>
              </w:rPr>
            </w:pPr>
            <w:r>
              <w:rPr>
                <w:rFonts w:cs="Times New Roman" w:ascii="Times New Roman" w:hAnsi="Times New Roman"/>
                <w:szCs w:val="20"/>
              </w:rPr>
            </w:r>
          </w:p>
        </w:tc>
      </w:tr>
      <w:tr>
        <w:trPr/>
        <w:tc>
          <w:tcPr>
            <w:tcW w:w="7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160"/>
              <w:rPr>
                <w:rFonts w:ascii="Times New Roman" w:hAnsi="Times New Roman" w:cs="Times New Roman"/>
                <w:szCs w:val="20"/>
              </w:rPr>
            </w:pPr>
            <w:r>
              <w:rPr>
                <w:rFonts w:cs="Times New Roman" w:ascii="Times New Roman" w:hAnsi="Times New Roman"/>
                <w:szCs w:val="20"/>
              </w:rPr>
            </w:r>
          </w:p>
        </w:tc>
        <w:tc>
          <w:tcPr>
            <w:tcW w:w="20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160"/>
              <w:rPr>
                <w:rFonts w:ascii="Times New Roman" w:hAnsi="Times New Roman" w:cs="Times New Roman"/>
                <w:szCs w:val="20"/>
              </w:rPr>
            </w:pPr>
            <w:r>
              <w:rPr>
                <w:rFonts w:cs="Times New Roman" w:ascii="Times New Roman" w:hAnsi="Times New Roman"/>
                <w:szCs w:val="20"/>
              </w:rPr>
            </w:r>
          </w:p>
        </w:tc>
        <w:tc>
          <w:tcPr>
            <w:tcW w:w="1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160"/>
              <w:rPr>
                <w:rFonts w:ascii="Times New Roman" w:hAnsi="Times New Roman" w:cs="Times New Roman"/>
                <w:szCs w:val="20"/>
              </w:rPr>
            </w:pPr>
            <w:r>
              <w:rPr>
                <w:rFonts w:cs="Times New Roman" w:ascii="Times New Roman" w:hAnsi="Times New Roman"/>
                <w:szCs w:val="20"/>
              </w:rPr>
            </w:r>
          </w:p>
        </w:tc>
        <w:tc>
          <w:tcPr>
            <w:tcW w:w="2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160"/>
              <w:rPr>
                <w:rFonts w:ascii="Times New Roman" w:hAnsi="Times New Roman" w:cs="Times New Roman"/>
                <w:szCs w:val="20"/>
              </w:rPr>
            </w:pPr>
            <w:r>
              <w:rPr>
                <w:rFonts w:cs="Times New Roman" w:ascii="Times New Roman" w:hAnsi="Times New Roman"/>
                <w:szCs w:val="20"/>
              </w:rPr>
            </w:r>
          </w:p>
        </w:tc>
        <w:tc>
          <w:tcPr>
            <w:tcW w:w="24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widowControl w:val="false"/>
              <w:snapToGrid w:val="false"/>
              <w:spacing w:lineRule="auto" w:line="240" w:before="0" w:after="160"/>
              <w:rPr>
                <w:rFonts w:ascii="Times New Roman" w:hAnsi="Times New Roman" w:cs="Times New Roman"/>
                <w:szCs w:val="20"/>
              </w:rPr>
            </w:pPr>
            <w:r>
              <w:rPr>
                <w:rFonts w:cs="Times New Roman" w:ascii="Times New Roman" w:hAnsi="Times New Roman"/>
                <w:szCs w:val="20"/>
              </w:rPr>
            </w:r>
          </w:p>
        </w:tc>
      </w:tr>
    </w:tbl>
    <w:p>
      <w:pPr>
        <w:pStyle w:val="Normal"/>
        <w:widowControl w:val="false"/>
        <w:spacing w:lineRule="auto" w:line="240" w:before="0" w:after="1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hd w:val="clear" w:color="auto" w:fill="auto"/>
        <w:tabs>
          <w:tab w:val="clear" w:pos="708"/>
          <w:tab w:val="left" w:pos="1564" w:leader="none"/>
        </w:tabs>
        <w:spacing w:lineRule="auto" w:line="240"/>
        <w:ind w:left="360" w:hanging="0"/>
        <w:jc w:val="center"/>
        <w:rPr/>
      </w:pPr>
      <w:r>
        <w:rPr/>
      </w:r>
    </w:p>
    <w:sectPr>
      <w:type w:val="nextPage"/>
      <w:pgSz w:w="11906" w:h="16838"/>
      <w:pgMar w:left="1134" w:right="567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ourier New">
    <w:charset w:val="01"/>
    <w:family w:val="roman"/>
    <w:pitch w:val="variable"/>
  </w:font>
  <w:font w:name="Cambria">
    <w:charset w:val="01"/>
    <w:family w:val="roman"/>
    <w:pitch w:val="variable"/>
  </w:font>
  <w:font w:name="Calibri">
    <w:charset w:val="01"/>
    <w:family w:val="roman"/>
    <w:pitch w:val="variable"/>
  </w:font>
  <w:font w:name="Times New Roman">
    <w:charset w:val="01"/>
    <w:family w:val="roman"/>
    <w:pitch w:val="variable"/>
  </w:font>
  <w:font w:name="Tahoma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1.%1."/>
      <w:lvlJc w:val="left"/>
      <w:pPr>
        <w:ind w:left="0" w:hanging="0"/>
      </w:pPr>
      <w:rPr>
        <w:smallCaps w:val="false"/>
        <w:caps w:val="false"/>
        <w:dstrike w:val="false"/>
        <w:strike w:val="false"/>
        <w:sz w:val="28"/>
        <w:spacing w:val="2"/>
        <w:i w:val="false"/>
        <w:u w:val="none"/>
        <w:b w:val="false"/>
        <w:szCs w:val="28"/>
        <w:iCs w:val="false"/>
        <w:bCs w:val="false"/>
        <w:w w:val="100"/>
        <w:rFonts w:ascii="Times New Roman" w:hAnsi="Times New Roman" w:eastAsia="Times New Roman" w:cs="Times New Roman"/>
        <w:color w:val="000000"/>
      </w:rPr>
    </w:lvl>
    <w:lvl w:ilvl="1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0" w:hanging="0"/>
      </w:pPr>
      <w:rPr>
        <w:rFonts w:cs="Times New Roman"/>
      </w:r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/>
      </w:rPr>
    </w:lvl>
    <w:lvl w:ilvl="1">
      <w:start w:val="3"/>
      <w:numFmt w:val="decimal"/>
      <w:lvlText w:val="%1.%2."/>
      <w:lvlJc w:val="left"/>
      <w:pPr>
        <w:tabs>
          <w:tab w:val="num" w:pos="1014"/>
        </w:tabs>
        <w:ind w:left="1014" w:hanging="6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sz w:val="28"/>
        <w:rFonts w:ascii="Times New Roman" w:hAnsi="Times New Roman" w:cs="Times New Roman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cs="Times New Roman"/>
      </w:r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compat>
    <w:doNotExpandShiftReturn/>
  </w:compat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ourier New" w:hAnsi="Courier New" w:eastAsia="Courier New" w:cs="Courier New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semiHidden="0" w:unhideWhenUsed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Body Text Inde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338d1"/>
    <w:pPr>
      <w:widowControl w:val="false"/>
      <w:bidi w:val="0"/>
      <w:jc w:val="left"/>
    </w:pPr>
    <w:rPr>
      <w:rFonts w:ascii="Courier New" w:hAnsi="Courier New" w:eastAsia="Courier New" w:cs="Courier New"/>
      <w:color w:val="000000"/>
      <w:kern w:val="0"/>
      <w:sz w:val="24"/>
      <w:szCs w:val="24"/>
      <w:lang w:val="ru-RU" w:eastAsia="ru-RU" w:bidi="ar-SA"/>
    </w:rPr>
  </w:style>
  <w:style w:type="paragraph" w:styleId="8">
    <w:name w:val="Heading 8"/>
    <w:basedOn w:val="Normal"/>
    <w:next w:val="Normal"/>
    <w:link w:val="80"/>
    <w:uiPriority w:val="99"/>
    <w:qFormat/>
    <w:locked/>
    <w:rsid w:val="00a0296d"/>
    <w:pPr>
      <w:keepNext w:val="true"/>
      <w:keepLines/>
      <w:widowControl/>
      <w:spacing w:before="200" w:after="0"/>
      <w:jc w:val="both"/>
      <w:outlineLvl w:val="7"/>
    </w:pPr>
    <w:rPr>
      <w:rFonts w:ascii="Cambria" w:hAnsi="Cambria" w:cs="Times New Roman"/>
      <w:color w:val="4F81BD"/>
      <w:sz w:val="20"/>
      <w:szCs w:val="20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8Char" w:customStyle="1">
    <w:name w:val="Heading 8 Char"/>
    <w:basedOn w:val="DefaultParagraphFont"/>
    <w:link w:val="8"/>
    <w:uiPriority w:val="99"/>
    <w:semiHidden/>
    <w:qFormat/>
    <w:locked/>
    <w:rsid w:val="00b66ddf"/>
    <w:rPr>
      <w:rFonts w:ascii="Calibri" w:hAnsi="Calibri" w:cs="Times New Roman"/>
      <w:i/>
      <w:iCs/>
      <w:color w:val="000000"/>
      <w:sz w:val="24"/>
      <w:szCs w:val="24"/>
    </w:rPr>
  </w:style>
  <w:style w:type="character" w:styleId="Style13">
    <w:name w:val="Интернет-ссылка"/>
    <w:basedOn w:val="DefaultParagraphFont"/>
    <w:uiPriority w:val="99"/>
    <w:rsid w:val="002338d1"/>
    <w:rPr>
      <w:rFonts w:cs="Times New Roman"/>
      <w:color w:val="000080"/>
      <w:u w:val="single"/>
    </w:rPr>
  </w:style>
  <w:style w:type="character" w:styleId="Style14" w:customStyle="1">
    <w:name w:val="Сноска_"/>
    <w:basedOn w:val="DefaultParagraphFont"/>
    <w:link w:val="a5"/>
    <w:uiPriority w:val="99"/>
    <w:qFormat/>
    <w:locked/>
    <w:rsid w:val="002338d1"/>
    <w:rPr>
      <w:rFonts w:ascii="Times New Roman" w:hAnsi="Times New Roman" w:cs="Times New Roman"/>
      <w:b/>
      <w:bCs/>
      <w:sz w:val="21"/>
      <w:szCs w:val="21"/>
      <w:u w:val="none"/>
    </w:rPr>
  </w:style>
  <w:style w:type="character" w:styleId="Style15" w:customStyle="1">
    <w:name w:val="Основной текст_"/>
    <w:basedOn w:val="DefaultParagraphFont"/>
    <w:link w:val="1"/>
    <w:uiPriority w:val="99"/>
    <w:qFormat/>
    <w:locked/>
    <w:rsid w:val="002338d1"/>
    <w:rPr>
      <w:rFonts w:ascii="Times New Roman" w:hAnsi="Times New Roman" w:cs="Times New Roman"/>
      <w:u w:val="none"/>
    </w:rPr>
  </w:style>
  <w:style w:type="character" w:styleId="Style16" w:customStyle="1">
    <w:name w:val="Колонтитул_"/>
    <w:basedOn w:val="DefaultParagraphFont"/>
    <w:link w:val="10"/>
    <w:uiPriority w:val="99"/>
    <w:qFormat/>
    <w:locked/>
    <w:rsid w:val="002338d1"/>
    <w:rPr>
      <w:rFonts w:ascii="Times New Roman" w:hAnsi="Times New Roman" w:cs="Times New Roman"/>
      <w:sz w:val="22"/>
      <w:szCs w:val="22"/>
      <w:u w:val="none"/>
    </w:rPr>
  </w:style>
  <w:style w:type="character" w:styleId="Style17" w:customStyle="1">
    <w:name w:val="Колонтитул"/>
    <w:basedOn w:val="Style16"/>
    <w:uiPriority w:val="99"/>
    <w:qFormat/>
    <w:rsid w:val="002338d1"/>
    <w:rPr>
      <w:color w:val="000000"/>
      <w:spacing w:val="0"/>
      <w:w w:val="100"/>
      <w:lang w:val="ru-RU" w:eastAsia="ru-RU"/>
    </w:rPr>
  </w:style>
  <w:style w:type="character" w:styleId="Style18" w:customStyle="1">
    <w:name w:val="Основной текст + Курсив"/>
    <w:basedOn w:val="Style15"/>
    <w:uiPriority w:val="99"/>
    <w:qFormat/>
    <w:rsid w:val="002338d1"/>
    <w:rPr>
      <w:i/>
      <w:iCs/>
      <w:color w:val="000000"/>
      <w:spacing w:val="0"/>
      <w:w w:val="100"/>
      <w:sz w:val="24"/>
      <w:szCs w:val="24"/>
      <w:lang w:val="ru-RU" w:eastAsia="ru-RU"/>
    </w:rPr>
  </w:style>
  <w:style w:type="character" w:styleId="4" w:customStyle="1">
    <w:name w:val="Основной текст (4)_"/>
    <w:basedOn w:val="DefaultParagraphFont"/>
    <w:link w:val="40"/>
    <w:uiPriority w:val="99"/>
    <w:qFormat/>
    <w:locked/>
    <w:rsid w:val="002338d1"/>
    <w:rPr>
      <w:rFonts w:ascii="Times New Roman" w:hAnsi="Times New Roman" w:cs="Times New Roman"/>
      <w:i/>
      <w:iCs/>
      <w:u w:val="none"/>
    </w:rPr>
  </w:style>
  <w:style w:type="character" w:styleId="41" w:customStyle="1">
    <w:name w:val="Основной текст (4) + Не курсив"/>
    <w:basedOn w:val="4"/>
    <w:uiPriority w:val="99"/>
    <w:qFormat/>
    <w:rsid w:val="002338d1"/>
    <w:rPr>
      <w:color w:val="000000"/>
      <w:spacing w:val="0"/>
      <w:w w:val="100"/>
      <w:sz w:val="24"/>
      <w:szCs w:val="24"/>
      <w:lang w:val="ru-RU" w:eastAsia="ru-RU"/>
    </w:rPr>
  </w:style>
  <w:style w:type="character" w:styleId="Style19" w:customStyle="1">
    <w:name w:val="Основной текст с отступом Знак"/>
    <w:basedOn w:val="DefaultParagraphFont"/>
    <w:link w:val="aa"/>
    <w:uiPriority w:val="99"/>
    <w:qFormat/>
    <w:locked/>
    <w:rsid w:val="00b26611"/>
    <w:rPr>
      <w:rFonts w:ascii="Times New Roman" w:hAnsi="Times New Roman" w:cs="Times New Roman"/>
      <w:sz w:val="28"/>
      <w:lang w:bidi="ar-SA"/>
    </w:rPr>
  </w:style>
  <w:style w:type="character" w:styleId="10pt" w:customStyle="1">
    <w:name w:val="Основной текст + 10 pt"/>
    <w:basedOn w:val="Style15"/>
    <w:uiPriority w:val="99"/>
    <w:qFormat/>
    <w:rsid w:val="00e97e23"/>
    <w:rPr>
      <w:color w:val="000000"/>
      <w:spacing w:val="8"/>
      <w:w w:val="100"/>
      <w:sz w:val="20"/>
      <w:szCs w:val="20"/>
      <w:lang w:val="ru-RU" w:eastAsia="ru-RU"/>
    </w:rPr>
  </w:style>
  <w:style w:type="character" w:styleId="1" w:customStyle="1">
    <w:name w:val="Основной текст + Курсив1"/>
    <w:basedOn w:val="Style15"/>
    <w:uiPriority w:val="99"/>
    <w:qFormat/>
    <w:rsid w:val="00e97e23"/>
    <w:rPr>
      <w:i/>
      <w:iCs/>
      <w:color w:val="000000"/>
      <w:w w:val="100"/>
      <w:sz w:val="24"/>
      <w:szCs w:val="24"/>
      <w:lang w:val="ru-RU" w:eastAsia="ru-RU"/>
    </w:rPr>
  </w:style>
  <w:style w:type="character" w:styleId="Style20" w:customStyle="1">
    <w:name w:val="Текст выноски Знак"/>
    <w:basedOn w:val="DefaultParagraphFont"/>
    <w:link w:val="ad"/>
    <w:uiPriority w:val="99"/>
    <w:semiHidden/>
    <w:qFormat/>
    <w:locked/>
    <w:rsid w:val="00654186"/>
    <w:rPr>
      <w:rFonts w:ascii="Tahoma" w:hAnsi="Tahoma" w:cs="Tahoma"/>
      <w:color w:val="000000"/>
      <w:sz w:val="16"/>
      <w:szCs w:val="16"/>
    </w:rPr>
  </w:style>
  <w:style w:type="character" w:styleId="Style21" w:customStyle="1">
    <w:name w:val="Текст сноски Знак"/>
    <w:basedOn w:val="DefaultParagraphFont"/>
    <w:link w:val="af"/>
    <w:uiPriority w:val="99"/>
    <w:semiHidden/>
    <w:qFormat/>
    <w:locked/>
    <w:rsid w:val="00de476e"/>
    <w:rPr>
      <w:rFonts w:cs="Times New Roman"/>
      <w:color w:val="000000"/>
      <w:sz w:val="20"/>
      <w:szCs w:val="20"/>
    </w:rPr>
  </w:style>
  <w:style w:type="character" w:styleId="81" w:customStyle="1">
    <w:name w:val="Заголовок 8 Знак"/>
    <w:link w:val="8"/>
    <w:uiPriority w:val="99"/>
    <w:qFormat/>
    <w:locked/>
    <w:rsid w:val="00a0296d"/>
    <w:rPr>
      <w:rFonts w:ascii="Cambria" w:hAnsi="Cambria"/>
      <w:color w:val="4F81BD"/>
    </w:rPr>
  </w:style>
  <w:style w:type="character" w:styleId="Style22" w:customStyle="1">
    <w:name w:val="Без интервала Знак"/>
    <w:link w:val="12"/>
    <w:uiPriority w:val="99"/>
    <w:qFormat/>
    <w:locked/>
    <w:rsid w:val="0070556a"/>
    <w:rPr>
      <w:rFonts w:ascii="Calibri" w:hAnsi="Calibri"/>
      <w:sz w:val="22"/>
      <w:lang w:val="en-US" w:eastAsia="en-US"/>
    </w:rPr>
  </w:style>
  <w:style w:type="character" w:styleId="Style23" w:customStyle="1">
    <w:name w:val="Абзац списка Знак"/>
    <w:link w:val="13"/>
    <w:uiPriority w:val="99"/>
    <w:qFormat/>
    <w:locked/>
    <w:rsid w:val="0070556a"/>
    <w:rPr>
      <w:sz w:val="22"/>
      <w:lang w:val="en-US" w:eastAsia="en-US"/>
    </w:rPr>
  </w:style>
  <w:style w:type="character" w:styleId="Appleconvertedspace" w:customStyle="1">
    <w:name w:val="apple-converted-space"/>
    <w:basedOn w:val="DefaultParagraphFont"/>
    <w:uiPriority w:val="99"/>
    <w:qFormat/>
    <w:rsid w:val="0014199e"/>
    <w:rPr>
      <w:rFonts w:cs="Times New Roman"/>
    </w:rPr>
  </w:style>
  <w:style w:type="character" w:styleId="ListLabel1">
    <w:name w:val="ListLabel 1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2">
    <w:name w:val="ListLabel 2"/>
    <w:qFormat/>
    <w:rPr>
      <w:rFonts w:cs="Times New Roman"/>
    </w:rPr>
  </w:style>
  <w:style w:type="character" w:styleId="ListLabel3">
    <w:name w:val="ListLabel 3"/>
    <w:qFormat/>
    <w:rPr>
      <w:rFonts w:cs="Times New Roman"/>
    </w:rPr>
  </w:style>
  <w:style w:type="character" w:styleId="ListLabel4">
    <w:name w:val="ListLabel 4"/>
    <w:qFormat/>
    <w:rPr>
      <w:rFonts w:cs="Times New Roman"/>
    </w:rPr>
  </w:style>
  <w:style w:type="character" w:styleId="ListLabel5">
    <w:name w:val="ListLabel 5"/>
    <w:qFormat/>
    <w:rPr>
      <w:rFonts w:cs="Times New Roman"/>
    </w:rPr>
  </w:style>
  <w:style w:type="character" w:styleId="ListLabel6">
    <w:name w:val="ListLabel 6"/>
    <w:qFormat/>
    <w:rPr>
      <w:rFonts w:cs="Times New Roman"/>
    </w:rPr>
  </w:style>
  <w:style w:type="character" w:styleId="ListLabel7">
    <w:name w:val="ListLabel 7"/>
    <w:qFormat/>
    <w:rPr>
      <w:rFonts w:cs="Times New Roman"/>
    </w:rPr>
  </w:style>
  <w:style w:type="character" w:styleId="ListLabel8">
    <w:name w:val="ListLabel 8"/>
    <w:qFormat/>
    <w:rPr>
      <w:rFonts w:cs="Times New Roman"/>
    </w:rPr>
  </w:style>
  <w:style w:type="character" w:styleId="ListLabel9">
    <w:name w:val="ListLabel 9"/>
    <w:qFormat/>
    <w:rPr>
      <w:rFonts w:cs="Times New Roman"/>
    </w:rPr>
  </w:style>
  <w:style w:type="character" w:styleId="ListLabel10">
    <w:name w:val="ListLabel 10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1">
    <w:name w:val="ListLabel 11"/>
    <w:qFormat/>
    <w:rPr>
      <w:rFonts w:cs="Times New Roman"/>
    </w:rPr>
  </w:style>
  <w:style w:type="character" w:styleId="ListLabel12">
    <w:name w:val="ListLabel 12"/>
    <w:qFormat/>
    <w:rPr>
      <w:rFonts w:cs="Times New Roman"/>
    </w:rPr>
  </w:style>
  <w:style w:type="character" w:styleId="ListLabel13">
    <w:name w:val="ListLabel 13"/>
    <w:qFormat/>
    <w:rPr>
      <w:rFonts w:cs="Times New Roman"/>
    </w:rPr>
  </w:style>
  <w:style w:type="character" w:styleId="ListLabel14">
    <w:name w:val="ListLabel 14"/>
    <w:qFormat/>
    <w:rPr>
      <w:rFonts w:cs="Times New Roman"/>
    </w:rPr>
  </w:style>
  <w:style w:type="character" w:styleId="ListLabel15">
    <w:name w:val="ListLabel 15"/>
    <w:qFormat/>
    <w:rPr>
      <w:rFonts w:cs="Times New Roman"/>
    </w:rPr>
  </w:style>
  <w:style w:type="character" w:styleId="ListLabel16">
    <w:name w:val="ListLabel 16"/>
    <w:qFormat/>
    <w:rPr>
      <w:rFonts w:cs="Times New Roman"/>
    </w:rPr>
  </w:style>
  <w:style w:type="character" w:styleId="ListLabel17">
    <w:name w:val="ListLabel 17"/>
    <w:qFormat/>
    <w:rPr>
      <w:rFonts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20">
    <w:name w:val="ListLabel 20"/>
    <w:qFormat/>
    <w:rPr>
      <w:rFonts w:cs="Times New Roman"/>
    </w:rPr>
  </w:style>
  <w:style w:type="character" w:styleId="ListLabel21">
    <w:name w:val="ListLabel 21"/>
    <w:qFormat/>
    <w:rPr>
      <w:rFonts w:cs="Times New Roman"/>
    </w:rPr>
  </w:style>
  <w:style w:type="character" w:styleId="ListLabel22">
    <w:name w:val="ListLabel 22"/>
    <w:qFormat/>
    <w:rPr>
      <w:rFonts w:cs="Times New Roman"/>
    </w:rPr>
  </w:style>
  <w:style w:type="character" w:styleId="ListLabel23">
    <w:name w:val="ListLabel 23"/>
    <w:qFormat/>
    <w:rPr>
      <w:rFonts w:cs="Times New Roman"/>
    </w:rPr>
  </w:style>
  <w:style w:type="character" w:styleId="ListLabel24">
    <w:name w:val="ListLabel 24"/>
    <w:qFormat/>
    <w:rPr>
      <w:rFonts w:cs="Times New Roman"/>
    </w:rPr>
  </w:style>
  <w:style w:type="character" w:styleId="ListLabel25">
    <w:name w:val="ListLabel 25"/>
    <w:qFormat/>
    <w:rPr>
      <w:rFonts w:cs="Times New Roman"/>
    </w:rPr>
  </w:style>
  <w:style w:type="character" w:styleId="ListLabel26">
    <w:name w:val="ListLabel 26"/>
    <w:qFormat/>
    <w:rPr>
      <w:rFonts w:cs="Times New Roman"/>
    </w:rPr>
  </w:style>
  <w:style w:type="character" w:styleId="ListLabel27">
    <w:name w:val="ListLabel 27"/>
    <w:qFormat/>
    <w:rPr>
      <w:rFonts w:cs="Times New Roman"/>
    </w:rPr>
  </w:style>
  <w:style w:type="character" w:styleId="ListLabel28">
    <w:name w:val="ListLabel 28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29">
    <w:name w:val="ListLabel 29"/>
    <w:qFormat/>
    <w:rPr>
      <w:rFonts w:cs="Times New Roman"/>
    </w:rPr>
  </w:style>
  <w:style w:type="character" w:styleId="ListLabel30">
    <w:name w:val="ListLabel 30"/>
    <w:qFormat/>
    <w:rPr>
      <w:rFonts w:cs="Times New Roman"/>
    </w:rPr>
  </w:style>
  <w:style w:type="character" w:styleId="ListLabel31">
    <w:name w:val="ListLabel 31"/>
    <w:qFormat/>
    <w:rPr>
      <w:rFonts w:cs="Times New Roman"/>
    </w:rPr>
  </w:style>
  <w:style w:type="character" w:styleId="ListLabel32">
    <w:name w:val="ListLabel 32"/>
    <w:qFormat/>
    <w:rPr>
      <w:rFonts w:cs="Times New Roman"/>
    </w:rPr>
  </w:style>
  <w:style w:type="character" w:styleId="ListLabel33">
    <w:name w:val="ListLabel 33"/>
    <w:qFormat/>
    <w:rPr>
      <w:rFonts w:cs="Times New Roman"/>
    </w:rPr>
  </w:style>
  <w:style w:type="character" w:styleId="ListLabel34">
    <w:name w:val="ListLabel 34"/>
    <w:qFormat/>
    <w:rPr>
      <w:rFonts w:cs="Times New Roman"/>
    </w:rPr>
  </w:style>
  <w:style w:type="character" w:styleId="ListLabel35">
    <w:name w:val="ListLabel 35"/>
    <w:qFormat/>
    <w:rPr>
      <w:rFonts w:cs="Times New Roman"/>
    </w:rPr>
  </w:style>
  <w:style w:type="character" w:styleId="ListLabel36">
    <w:name w:val="ListLabel 36"/>
    <w:qFormat/>
    <w:rPr>
      <w:rFonts w:cs="Times New Roman"/>
    </w:rPr>
  </w:style>
  <w:style w:type="character" w:styleId="ListLabel37">
    <w:name w:val="ListLabel 37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38">
    <w:name w:val="ListLabel 38"/>
    <w:qFormat/>
    <w:rPr>
      <w:rFonts w:cs="Times New Roman"/>
    </w:rPr>
  </w:style>
  <w:style w:type="character" w:styleId="ListLabel39">
    <w:name w:val="ListLabel 39"/>
    <w:qFormat/>
    <w:rPr>
      <w:rFonts w:cs="Times New Roman"/>
    </w:rPr>
  </w:style>
  <w:style w:type="character" w:styleId="ListLabel40">
    <w:name w:val="ListLabel 40"/>
    <w:qFormat/>
    <w:rPr>
      <w:rFonts w:cs="Times New Roman"/>
    </w:rPr>
  </w:style>
  <w:style w:type="character" w:styleId="ListLabel41">
    <w:name w:val="ListLabel 41"/>
    <w:qFormat/>
    <w:rPr>
      <w:rFonts w:cs="Times New Roman"/>
    </w:rPr>
  </w:style>
  <w:style w:type="character" w:styleId="ListLabel42">
    <w:name w:val="ListLabel 42"/>
    <w:qFormat/>
    <w:rPr>
      <w:rFonts w:cs="Times New Roman"/>
    </w:rPr>
  </w:style>
  <w:style w:type="character" w:styleId="ListLabel43">
    <w:name w:val="ListLabel 43"/>
    <w:qFormat/>
    <w:rPr>
      <w:rFonts w:cs="Times New Roman"/>
    </w:rPr>
  </w:style>
  <w:style w:type="character" w:styleId="ListLabel44">
    <w:name w:val="ListLabel 44"/>
    <w:qFormat/>
    <w:rPr>
      <w:rFonts w:cs="Times New Roman"/>
    </w:rPr>
  </w:style>
  <w:style w:type="character" w:styleId="ListLabel45">
    <w:name w:val="ListLabel 45"/>
    <w:qFormat/>
    <w:rPr>
      <w:rFonts w:cs="Times New Roman"/>
    </w:rPr>
  </w:style>
  <w:style w:type="character" w:styleId="ListLabel46">
    <w:name w:val="ListLabel 46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47">
    <w:name w:val="ListLabel 47"/>
    <w:qFormat/>
    <w:rPr>
      <w:rFonts w:cs="Times New Roman"/>
    </w:rPr>
  </w:style>
  <w:style w:type="character" w:styleId="ListLabel48">
    <w:name w:val="ListLabel 48"/>
    <w:qFormat/>
    <w:rPr>
      <w:rFonts w:cs="Times New Roman"/>
    </w:rPr>
  </w:style>
  <w:style w:type="character" w:styleId="ListLabel49">
    <w:name w:val="ListLabel 49"/>
    <w:qFormat/>
    <w:rPr>
      <w:rFonts w:cs="Times New Roman"/>
    </w:rPr>
  </w:style>
  <w:style w:type="character" w:styleId="ListLabel50">
    <w:name w:val="ListLabel 50"/>
    <w:qFormat/>
    <w:rPr>
      <w:rFonts w:cs="Times New Roman"/>
    </w:rPr>
  </w:style>
  <w:style w:type="character" w:styleId="ListLabel51">
    <w:name w:val="ListLabel 51"/>
    <w:qFormat/>
    <w:rPr>
      <w:rFonts w:cs="Times New Roman"/>
    </w:rPr>
  </w:style>
  <w:style w:type="character" w:styleId="ListLabel52">
    <w:name w:val="ListLabel 52"/>
    <w:qFormat/>
    <w:rPr>
      <w:rFonts w:cs="Times New Roman"/>
    </w:rPr>
  </w:style>
  <w:style w:type="character" w:styleId="ListLabel53">
    <w:name w:val="ListLabel 53"/>
    <w:qFormat/>
    <w:rPr>
      <w:rFonts w:cs="Times New Roman"/>
    </w:rPr>
  </w:style>
  <w:style w:type="character" w:styleId="ListLabel54">
    <w:name w:val="ListLabel 54"/>
    <w:qFormat/>
    <w:rPr>
      <w:rFonts w:cs="Times New Roman"/>
    </w:rPr>
  </w:style>
  <w:style w:type="character" w:styleId="ListLabel55">
    <w:name w:val="ListLabel 55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56">
    <w:name w:val="ListLabel 56"/>
    <w:qFormat/>
    <w:rPr>
      <w:rFonts w:cs="Times New Roman"/>
    </w:rPr>
  </w:style>
  <w:style w:type="character" w:styleId="ListLabel57">
    <w:name w:val="ListLabel 57"/>
    <w:qFormat/>
    <w:rPr>
      <w:rFonts w:cs="Times New Roman"/>
    </w:rPr>
  </w:style>
  <w:style w:type="character" w:styleId="ListLabel58">
    <w:name w:val="ListLabel 58"/>
    <w:qFormat/>
    <w:rPr>
      <w:rFonts w:cs="Times New Roman"/>
    </w:rPr>
  </w:style>
  <w:style w:type="character" w:styleId="ListLabel59">
    <w:name w:val="ListLabel 59"/>
    <w:qFormat/>
    <w:rPr>
      <w:rFonts w:cs="Times New Roman"/>
    </w:rPr>
  </w:style>
  <w:style w:type="character" w:styleId="ListLabel60">
    <w:name w:val="ListLabel 60"/>
    <w:qFormat/>
    <w:rPr>
      <w:rFonts w:cs="Times New Roman"/>
    </w:rPr>
  </w:style>
  <w:style w:type="character" w:styleId="ListLabel61">
    <w:name w:val="ListLabel 61"/>
    <w:qFormat/>
    <w:rPr>
      <w:rFonts w:cs="Times New Roman"/>
    </w:rPr>
  </w:style>
  <w:style w:type="character" w:styleId="ListLabel62">
    <w:name w:val="ListLabel 62"/>
    <w:qFormat/>
    <w:rPr>
      <w:rFonts w:cs="Times New Roman"/>
    </w:rPr>
  </w:style>
  <w:style w:type="character" w:styleId="ListLabel63">
    <w:name w:val="ListLabel 63"/>
    <w:qFormat/>
    <w:rPr>
      <w:rFonts w:cs="Times New Roman"/>
    </w:rPr>
  </w:style>
  <w:style w:type="character" w:styleId="ListLabel64">
    <w:name w:val="ListLabel 64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65">
    <w:name w:val="ListLabel 65"/>
    <w:qFormat/>
    <w:rPr>
      <w:rFonts w:cs="Times New Roman"/>
    </w:rPr>
  </w:style>
  <w:style w:type="character" w:styleId="ListLabel66">
    <w:name w:val="ListLabel 66"/>
    <w:qFormat/>
    <w:rPr>
      <w:rFonts w:cs="Times New Roman"/>
    </w:rPr>
  </w:style>
  <w:style w:type="character" w:styleId="ListLabel67">
    <w:name w:val="ListLabel 67"/>
    <w:qFormat/>
    <w:rPr>
      <w:rFonts w:cs="Times New Roman"/>
    </w:rPr>
  </w:style>
  <w:style w:type="character" w:styleId="ListLabel68">
    <w:name w:val="ListLabel 68"/>
    <w:qFormat/>
    <w:rPr>
      <w:rFonts w:cs="Times New Roman"/>
    </w:rPr>
  </w:style>
  <w:style w:type="character" w:styleId="ListLabel69">
    <w:name w:val="ListLabel 69"/>
    <w:qFormat/>
    <w:rPr>
      <w:rFonts w:cs="Times New Roman"/>
    </w:rPr>
  </w:style>
  <w:style w:type="character" w:styleId="ListLabel70">
    <w:name w:val="ListLabel 70"/>
    <w:qFormat/>
    <w:rPr>
      <w:rFonts w:cs="Times New Roman"/>
    </w:rPr>
  </w:style>
  <w:style w:type="character" w:styleId="ListLabel71">
    <w:name w:val="ListLabel 71"/>
    <w:qFormat/>
    <w:rPr>
      <w:rFonts w:cs="Times New Roman"/>
    </w:rPr>
  </w:style>
  <w:style w:type="character" w:styleId="ListLabel72">
    <w:name w:val="ListLabel 72"/>
    <w:qFormat/>
    <w:rPr>
      <w:rFonts w:cs="Times New Roman"/>
    </w:rPr>
  </w:style>
  <w:style w:type="character" w:styleId="ListLabel73">
    <w:name w:val="ListLabel 73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74">
    <w:name w:val="ListLabel 74"/>
    <w:qFormat/>
    <w:rPr>
      <w:rFonts w:cs="Times New Roman"/>
    </w:rPr>
  </w:style>
  <w:style w:type="character" w:styleId="ListLabel75">
    <w:name w:val="ListLabel 75"/>
    <w:qFormat/>
    <w:rPr>
      <w:rFonts w:cs="Times New Roman"/>
    </w:rPr>
  </w:style>
  <w:style w:type="character" w:styleId="ListLabel76">
    <w:name w:val="ListLabel 76"/>
    <w:qFormat/>
    <w:rPr>
      <w:rFonts w:cs="Times New Roman"/>
    </w:rPr>
  </w:style>
  <w:style w:type="character" w:styleId="ListLabel77">
    <w:name w:val="ListLabel 77"/>
    <w:qFormat/>
    <w:rPr>
      <w:rFonts w:cs="Times New Roman"/>
    </w:rPr>
  </w:style>
  <w:style w:type="character" w:styleId="ListLabel78">
    <w:name w:val="ListLabel 78"/>
    <w:qFormat/>
    <w:rPr>
      <w:rFonts w:cs="Times New Roman"/>
    </w:rPr>
  </w:style>
  <w:style w:type="character" w:styleId="ListLabel79">
    <w:name w:val="ListLabel 79"/>
    <w:qFormat/>
    <w:rPr>
      <w:rFonts w:cs="Times New Roman"/>
    </w:rPr>
  </w:style>
  <w:style w:type="character" w:styleId="ListLabel80">
    <w:name w:val="ListLabel 80"/>
    <w:qFormat/>
    <w:rPr>
      <w:rFonts w:cs="Times New Roman"/>
    </w:rPr>
  </w:style>
  <w:style w:type="character" w:styleId="ListLabel81">
    <w:name w:val="ListLabel 81"/>
    <w:qFormat/>
    <w:rPr>
      <w:rFonts w:cs="Times New Roman"/>
    </w:rPr>
  </w:style>
  <w:style w:type="character" w:styleId="ListLabel82">
    <w:name w:val="ListLabel 82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83">
    <w:name w:val="ListLabel 83"/>
    <w:qFormat/>
    <w:rPr>
      <w:rFonts w:cs="Times New Roman"/>
    </w:rPr>
  </w:style>
  <w:style w:type="character" w:styleId="ListLabel84">
    <w:name w:val="ListLabel 84"/>
    <w:qFormat/>
    <w:rPr>
      <w:rFonts w:cs="Times New Roman"/>
    </w:rPr>
  </w:style>
  <w:style w:type="character" w:styleId="ListLabel85">
    <w:name w:val="ListLabel 85"/>
    <w:qFormat/>
    <w:rPr>
      <w:rFonts w:cs="Times New Roman"/>
    </w:rPr>
  </w:style>
  <w:style w:type="character" w:styleId="ListLabel86">
    <w:name w:val="ListLabel 86"/>
    <w:qFormat/>
    <w:rPr>
      <w:rFonts w:cs="Times New Roman"/>
    </w:rPr>
  </w:style>
  <w:style w:type="character" w:styleId="ListLabel87">
    <w:name w:val="ListLabel 87"/>
    <w:qFormat/>
    <w:rPr>
      <w:rFonts w:cs="Times New Roman"/>
    </w:rPr>
  </w:style>
  <w:style w:type="character" w:styleId="ListLabel88">
    <w:name w:val="ListLabel 88"/>
    <w:qFormat/>
    <w:rPr>
      <w:rFonts w:cs="Times New Roman"/>
    </w:rPr>
  </w:style>
  <w:style w:type="character" w:styleId="ListLabel89">
    <w:name w:val="ListLabel 89"/>
    <w:qFormat/>
    <w:rPr>
      <w:rFonts w:cs="Times New Roman"/>
    </w:rPr>
  </w:style>
  <w:style w:type="character" w:styleId="ListLabel90">
    <w:name w:val="ListLabel 90"/>
    <w:qFormat/>
    <w:rPr>
      <w:rFonts w:cs="Times New Roman"/>
    </w:rPr>
  </w:style>
  <w:style w:type="character" w:styleId="ListLabel91">
    <w:name w:val="ListLabel 91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92">
    <w:name w:val="ListLabel 92"/>
    <w:qFormat/>
    <w:rPr>
      <w:rFonts w:cs="Times New Roman"/>
    </w:rPr>
  </w:style>
  <w:style w:type="character" w:styleId="ListLabel93">
    <w:name w:val="ListLabel 93"/>
    <w:qFormat/>
    <w:rPr>
      <w:rFonts w:cs="Times New Roman"/>
    </w:rPr>
  </w:style>
  <w:style w:type="character" w:styleId="ListLabel94">
    <w:name w:val="ListLabel 94"/>
    <w:qFormat/>
    <w:rPr>
      <w:rFonts w:cs="Times New Roman"/>
    </w:rPr>
  </w:style>
  <w:style w:type="character" w:styleId="ListLabel95">
    <w:name w:val="ListLabel 95"/>
    <w:qFormat/>
    <w:rPr>
      <w:rFonts w:cs="Times New Roman"/>
    </w:rPr>
  </w:style>
  <w:style w:type="character" w:styleId="ListLabel96">
    <w:name w:val="ListLabel 96"/>
    <w:qFormat/>
    <w:rPr>
      <w:rFonts w:cs="Times New Roman"/>
    </w:rPr>
  </w:style>
  <w:style w:type="character" w:styleId="ListLabel97">
    <w:name w:val="ListLabel 97"/>
    <w:qFormat/>
    <w:rPr>
      <w:rFonts w:cs="Times New Roman"/>
    </w:rPr>
  </w:style>
  <w:style w:type="character" w:styleId="ListLabel98">
    <w:name w:val="ListLabel 98"/>
    <w:qFormat/>
    <w:rPr>
      <w:rFonts w:cs="Times New Roman"/>
    </w:rPr>
  </w:style>
  <w:style w:type="character" w:styleId="ListLabel99">
    <w:name w:val="ListLabel 99"/>
    <w:qFormat/>
    <w:rPr>
      <w:rFonts w:cs="Times New Roman"/>
    </w:rPr>
  </w:style>
  <w:style w:type="character" w:styleId="ListLabel100">
    <w:name w:val="ListLabel 100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01">
    <w:name w:val="ListLabel 101"/>
    <w:qFormat/>
    <w:rPr>
      <w:rFonts w:cs="Times New Roman"/>
    </w:rPr>
  </w:style>
  <w:style w:type="character" w:styleId="ListLabel102">
    <w:name w:val="ListLabel 102"/>
    <w:qFormat/>
    <w:rPr>
      <w:rFonts w:cs="Times New Roman"/>
    </w:rPr>
  </w:style>
  <w:style w:type="character" w:styleId="ListLabel103">
    <w:name w:val="ListLabel 103"/>
    <w:qFormat/>
    <w:rPr>
      <w:rFonts w:cs="Times New Roman"/>
    </w:rPr>
  </w:style>
  <w:style w:type="character" w:styleId="ListLabel104">
    <w:name w:val="ListLabel 104"/>
    <w:qFormat/>
    <w:rPr>
      <w:rFonts w:cs="Times New Roman"/>
    </w:rPr>
  </w:style>
  <w:style w:type="character" w:styleId="ListLabel105">
    <w:name w:val="ListLabel 105"/>
    <w:qFormat/>
    <w:rPr>
      <w:rFonts w:cs="Times New Roman"/>
    </w:rPr>
  </w:style>
  <w:style w:type="character" w:styleId="ListLabel106">
    <w:name w:val="ListLabel 106"/>
    <w:qFormat/>
    <w:rPr>
      <w:rFonts w:cs="Times New Roman"/>
    </w:rPr>
  </w:style>
  <w:style w:type="character" w:styleId="ListLabel107">
    <w:name w:val="ListLabel 107"/>
    <w:qFormat/>
    <w:rPr>
      <w:rFonts w:cs="Times New Roman"/>
    </w:rPr>
  </w:style>
  <w:style w:type="character" w:styleId="ListLabel108">
    <w:name w:val="ListLabel 108"/>
    <w:qFormat/>
    <w:rPr>
      <w:rFonts w:cs="Times New Roman"/>
    </w:rPr>
  </w:style>
  <w:style w:type="character" w:styleId="ListLabel109">
    <w:name w:val="ListLabel 109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10">
    <w:name w:val="ListLabel 110"/>
    <w:qFormat/>
    <w:rPr>
      <w:rFonts w:cs="Times New Roman"/>
    </w:rPr>
  </w:style>
  <w:style w:type="character" w:styleId="ListLabel111">
    <w:name w:val="ListLabel 111"/>
    <w:qFormat/>
    <w:rPr>
      <w:rFonts w:cs="Times New Roman"/>
    </w:rPr>
  </w:style>
  <w:style w:type="character" w:styleId="ListLabel112">
    <w:name w:val="ListLabel 112"/>
    <w:qFormat/>
    <w:rPr>
      <w:rFonts w:cs="Times New Roman"/>
    </w:rPr>
  </w:style>
  <w:style w:type="character" w:styleId="ListLabel113">
    <w:name w:val="ListLabel 113"/>
    <w:qFormat/>
    <w:rPr>
      <w:rFonts w:cs="Times New Roman"/>
    </w:rPr>
  </w:style>
  <w:style w:type="character" w:styleId="ListLabel114">
    <w:name w:val="ListLabel 114"/>
    <w:qFormat/>
    <w:rPr>
      <w:rFonts w:cs="Times New Roman"/>
    </w:rPr>
  </w:style>
  <w:style w:type="character" w:styleId="ListLabel115">
    <w:name w:val="ListLabel 115"/>
    <w:qFormat/>
    <w:rPr>
      <w:rFonts w:cs="Times New Roman"/>
    </w:rPr>
  </w:style>
  <w:style w:type="character" w:styleId="ListLabel116">
    <w:name w:val="ListLabel 116"/>
    <w:qFormat/>
    <w:rPr>
      <w:rFonts w:cs="Times New Roman"/>
    </w:rPr>
  </w:style>
  <w:style w:type="character" w:styleId="ListLabel117">
    <w:name w:val="ListLabel 117"/>
    <w:qFormat/>
    <w:rPr>
      <w:rFonts w:cs="Times New Roman"/>
    </w:rPr>
  </w:style>
  <w:style w:type="character" w:styleId="ListLabel118">
    <w:name w:val="ListLabel 118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19">
    <w:name w:val="ListLabel 119"/>
    <w:qFormat/>
    <w:rPr>
      <w:rFonts w:cs="Times New Roman"/>
    </w:rPr>
  </w:style>
  <w:style w:type="character" w:styleId="ListLabel120">
    <w:name w:val="ListLabel 120"/>
    <w:qFormat/>
    <w:rPr>
      <w:rFonts w:cs="Times New Roman"/>
    </w:rPr>
  </w:style>
  <w:style w:type="character" w:styleId="ListLabel121">
    <w:name w:val="ListLabel 121"/>
    <w:qFormat/>
    <w:rPr>
      <w:rFonts w:cs="Times New Roman"/>
    </w:rPr>
  </w:style>
  <w:style w:type="character" w:styleId="ListLabel122">
    <w:name w:val="ListLabel 122"/>
    <w:qFormat/>
    <w:rPr>
      <w:rFonts w:cs="Times New Roman"/>
    </w:rPr>
  </w:style>
  <w:style w:type="character" w:styleId="ListLabel123">
    <w:name w:val="ListLabel 123"/>
    <w:qFormat/>
    <w:rPr>
      <w:rFonts w:cs="Times New Roman"/>
    </w:rPr>
  </w:style>
  <w:style w:type="character" w:styleId="ListLabel124">
    <w:name w:val="ListLabel 124"/>
    <w:qFormat/>
    <w:rPr>
      <w:rFonts w:cs="Times New Roman"/>
    </w:rPr>
  </w:style>
  <w:style w:type="character" w:styleId="ListLabel125">
    <w:name w:val="ListLabel 125"/>
    <w:qFormat/>
    <w:rPr>
      <w:rFonts w:cs="Times New Roman"/>
    </w:rPr>
  </w:style>
  <w:style w:type="character" w:styleId="ListLabel126">
    <w:name w:val="ListLabel 126"/>
    <w:qFormat/>
    <w:rPr>
      <w:rFonts w:cs="Times New Roman"/>
    </w:rPr>
  </w:style>
  <w:style w:type="character" w:styleId="ListLabel127">
    <w:name w:val="ListLabel 127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28">
    <w:name w:val="ListLabel 128"/>
    <w:qFormat/>
    <w:rPr>
      <w:rFonts w:cs="Times New Roman"/>
    </w:rPr>
  </w:style>
  <w:style w:type="character" w:styleId="ListLabel129">
    <w:name w:val="ListLabel 129"/>
    <w:qFormat/>
    <w:rPr>
      <w:rFonts w:cs="Times New Roman"/>
    </w:rPr>
  </w:style>
  <w:style w:type="character" w:styleId="ListLabel130">
    <w:name w:val="ListLabel 130"/>
    <w:qFormat/>
    <w:rPr>
      <w:rFonts w:cs="Times New Roman"/>
    </w:rPr>
  </w:style>
  <w:style w:type="character" w:styleId="ListLabel131">
    <w:name w:val="ListLabel 131"/>
    <w:qFormat/>
    <w:rPr>
      <w:rFonts w:cs="Times New Roman"/>
    </w:rPr>
  </w:style>
  <w:style w:type="character" w:styleId="ListLabel132">
    <w:name w:val="ListLabel 132"/>
    <w:qFormat/>
    <w:rPr>
      <w:rFonts w:cs="Times New Roman"/>
    </w:rPr>
  </w:style>
  <w:style w:type="character" w:styleId="ListLabel133">
    <w:name w:val="ListLabel 133"/>
    <w:qFormat/>
    <w:rPr>
      <w:rFonts w:cs="Times New Roman"/>
    </w:rPr>
  </w:style>
  <w:style w:type="character" w:styleId="ListLabel134">
    <w:name w:val="ListLabel 134"/>
    <w:qFormat/>
    <w:rPr>
      <w:rFonts w:cs="Times New Roman"/>
    </w:rPr>
  </w:style>
  <w:style w:type="character" w:styleId="ListLabel135">
    <w:name w:val="ListLabel 135"/>
    <w:qFormat/>
    <w:rPr>
      <w:rFonts w:cs="Times New Roman"/>
    </w:rPr>
  </w:style>
  <w:style w:type="character" w:styleId="ListLabel136">
    <w:name w:val="ListLabel 136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0"/>
      <w:w w:val="100"/>
      <w:sz w:val="24"/>
      <w:szCs w:val="24"/>
      <w:u w:val="none"/>
    </w:rPr>
  </w:style>
  <w:style w:type="character" w:styleId="ListLabel137">
    <w:name w:val="ListLabel 137"/>
    <w:qFormat/>
    <w:rPr>
      <w:rFonts w:cs="Times New Roman"/>
    </w:rPr>
  </w:style>
  <w:style w:type="character" w:styleId="ListLabel138">
    <w:name w:val="ListLabel 138"/>
    <w:qFormat/>
    <w:rPr>
      <w:rFonts w:cs="Times New Roman"/>
    </w:rPr>
  </w:style>
  <w:style w:type="character" w:styleId="ListLabel139">
    <w:name w:val="ListLabel 139"/>
    <w:qFormat/>
    <w:rPr>
      <w:rFonts w:cs="Times New Roman"/>
    </w:rPr>
  </w:style>
  <w:style w:type="character" w:styleId="ListLabel140">
    <w:name w:val="ListLabel 140"/>
    <w:qFormat/>
    <w:rPr>
      <w:rFonts w:cs="Times New Roman"/>
    </w:rPr>
  </w:style>
  <w:style w:type="character" w:styleId="ListLabel141">
    <w:name w:val="ListLabel 141"/>
    <w:qFormat/>
    <w:rPr>
      <w:rFonts w:cs="Times New Roman"/>
    </w:rPr>
  </w:style>
  <w:style w:type="character" w:styleId="ListLabel142">
    <w:name w:val="ListLabel 142"/>
    <w:qFormat/>
    <w:rPr>
      <w:rFonts w:cs="Times New Roman"/>
    </w:rPr>
  </w:style>
  <w:style w:type="character" w:styleId="ListLabel143">
    <w:name w:val="ListLabel 143"/>
    <w:qFormat/>
    <w:rPr>
      <w:rFonts w:cs="Times New Roman"/>
    </w:rPr>
  </w:style>
  <w:style w:type="character" w:styleId="ListLabel144">
    <w:name w:val="ListLabel 144"/>
    <w:qFormat/>
    <w:rPr>
      <w:rFonts w:cs="Times New Roman"/>
    </w:rPr>
  </w:style>
  <w:style w:type="character" w:styleId="ListLabel145">
    <w:name w:val="ListLabel 145"/>
    <w:qFormat/>
    <w:rPr>
      <w:rFonts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2"/>
      <w:w w:val="100"/>
      <w:sz w:val="28"/>
      <w:szCs w:val="28"/>
      <w:u w:val="none"/>
    </w:rPr>
  </w:style>
  <w:style w:type="character" w:styleId="ListLabel146">
    <w:name w:val="ListLabel 146"/>
    <w:qFormat/>
    <w:rPr>
      <w:rFonts w:cs="Times New Roman"/>
    </w:rPr>
  </w:style>
  <w:style w:type="character" w:styleId="ListLabel147">
    <w:name w:val="ListLabel 147"/>
    <w:qFormat/>
    <w:rPr>
      <w:rFonts w:cs="Times New Roman"/>
    </w:rPr>
  </w:style>
  <w:style w:type="character" w:styleId="ListLabel148">
    <w:name w:val="ListLabel 148"/>
    <w:qFormat/>
    <w:rPr>
      <w:rFonts w:cs="Times New Roman"/>
    </w:rPr>
  </w:style>
  <w:style w:type="character" w:styleId="ListLabel149">
    <w:name w:val="ListLabel 149"/>
    <w:qFormat/>
    <w:rPr>
      <w:rFonts w:cs="Times New Roman"/>
    </w:rPr>
  </w:style>
  <w:style w:type="character" w:styleId="ListLabel150">
    <w:name w:val="ListLabel 150"/>
    <w:qFormat/>
    <w:rPr>
      <w:rFonts w:cs="Times New Roman"/>
    </w:rPr>
  </w:style>
  <w:style w:type="character" w:styleId="ListLabel151">
    <w:name w:val="ListLabel 151"/>
    <w:qFormat/>
    <w:rPr>
      <w:rFonts w:cs="Times New Roman"/>
    </w:rPr>
  </w:style>
  <w:style w:type="character" w:styleId="ListLabel152">
    <w:name w:val="ListLabel 152"/>
    <w:qFormat/>
    <w:rPr>
      <w:rFonts w:cs="Times New Roman"/>
    </w:rPr>
  </w:style>
  <w:style w:type="character" w:styleId="ListLabel153">
    <w:name w:val="ListLabel 153"/>
    <w:qFormat/>
    <w:rPr>
      <w:rFonts w:cs="Times New Roman"/>
    </w:rPr>
  </w:style>
  <w:style w:type="character" w:styleId="ListLabel154">
    <w:name w:val="ListLabel 154"/>
    <w:qFormat/>
    <w:rPr>
      <w:rFonts w:cs="Times New Roman"/>
    </w:rPr>
  </w:style>
  <w:style w:type="character" w:styleId="ListLabel155">
    <w:name w:val="ListLabel 155"/>
    <w:qFormat/>
    <w:rPr>
      <w:rFonts w:cs="Times New Roman"/>
    </w:rPr>
  </w:style>
  <w:style w:type="character" w:styleId="ListLabel156">
    <w:name w:val="ListLabel 156"/>
    <w:qFormat/>
    <w:rPr>
      <w:rFonts w:cs="Times New Roman"/>
    </w:rPr>
  </w:style>
  <w:style w:type="character" w:styleId="ListLabel157">
    <w:name w:val="ListLabel 157"/>
    <w:qFormat/>
    <w:rPr>
      <w:rFonts w:cs="Times New Roman"/>
    </w:rPr>
  </w:style>
  <w:style w:type="character" w:styleId="ListLabel158">
    <w:name w:val="ListLabel 158"/>
    <w:qFormat/>
    <w:rPr>
      <w:rFonts w:cs="Times New Roman"/>
    </w:rPr>
  </w:style>
  <w:style w:type="character" w:styleId="ListLabel159">
    <w:name w:val="ListLabel 159"/>
    <w:qFormat/>
    <w:rPr>
      <w:rFonts w:cs="Times New Roman"/>
    </w:rPr>
  </w:style>
  <w:style w:type="character" w:styleId="ListLabel160">
    <w:name w:val="ListLabel 160"/>
    <w:qFormat/>
    <w:rPr>
      <w:rFonts w:cs="Times New Roman"/>
    </w:rPr>
  </w:style>
  <w:style w:type="character" w:styleId="ListLabel161">
    <w:name w:val="ListLabel 161"/>
    <w:qFormat/>
    <w:rPr>
      <w:rFonts w:cs="Times New Roman"/>
    </w:rPr>
  </w:style>
  <w:style w:type="character" w:styleId="ListLabel162">
    <w:name w:val="ListLabel 162"/>
    <w:qFormat/>
    <w:rPr>
      <w:rFonts w:cs="Times New Roman"/>
    </w:rPr>
  </w:style>
  <w:style w:type="character" w:styleId="ListLabel163">
    <w:name w:val="ListLabel 163"/>
    <w:qFormat/>
    <w:rPr>
      <w:rFonts w:cs="Times New Roman"/>
    </w:rPr>
  </w:style>
  <w:style w:type="character" w:styleId="ListLabel164">
    <w:name w:val="ListLabel 164"/>
    <w:qFormat/>
    <w:rPr>
      <w:rFonts w:cs="Times New Roman"/>
    </w:rPr>
  </w:style>
  <w:style w:type="character" w:styleId="ListLabel165">
    <w:name w:val="ListLabel 165"/>
    <w:qFormat/>
    <w:rPr>
      <w:rFonts w:cs="Times New Roman"/>
    </w:rPr>
  </w:style>
  <w:style w:type="character" w:styleId="ListLabel166">
    <w:name w:val="ListLabel 166"/>
    <w:qFormat/>
    <w:rPr>
      <w:rFonts w:cs="Times New Roman"/>
    </w:rPr>
  </w:style>
  <w:style w:type="character" w:styleId="ListLabel167">
    <w:name w:val="ListLabel 167"/>
    <w:qFormat/>
    <w:rPr>
      <w:rFonts w:cs="Times New Roman"/>
    </w:rPr>
  </w:style>
  <w:style w:type="character" w:styleId="ListLabel168">
    <w:name w:val="ListLabel 168"/>
    <w:qFormat/>
    <w:rPr>
      <w:rFonts w:cs="Times New Roman"/>
    </w:rPr>
  </w:style>
  <w:style w:type="character" w:styleId="ListLabel169">
    <w:name w:val="ListLabel 169"/>
    <w:qFormat/>
    <w:rPr>
      <w:rFonts w:cs="Times New Roman"/>
    </w:rPr>
  </w:style>
  <w:style w:type="character" w:styleId="ListLabel170">
    <w:name w:val="ListLabel 170"/>
    <w:qFormat/>
    <w:rPr>
      <w:rFonts w:cs="Times New Roman"/>
    </w:rPr>
  </w:style>
  <w:style w:type="character" w:styleId="ListLabel171">
    <w:name w:val="ListLabel 171"/>
    <w:qFormat/>
    <w:rPr>
      <w:rFonts w:cs="Times New Roman"/>
    </w:rPr>
  </w:style>
  <w:style w:type="character" w:styleId="ListLabel172">
    <w:name w:val="ListLabel 172"/>
    <w:qFormat/>
    <w:rPr>
      <w:rFonts w:cs="Times New Roman"/>
    </w:rPr>
  </w:style>
  <w:style w:type="character" w:styleId="ListLabel173">
    <w:name w:val="ListLabel 173"/>
    <w:qFormat/>
    <w:rPr>
      <w:rFonts w:cs="Times New Roman"/>
    </w:rPr>
  </w:style>
  <w:style w:type="character" w:styleId="ListLabel174">
    <w:name w:val="ListLabel 174"/>
    <w:qFormat/>
    <w:rPr>
      <w:rFonts w:cs="Times New Roman"/>
    </w:rPr>
  </w:style>
  <w:style w:type="character" w:styleId="ListLabel175">
    <w:name w:val="ListLabel 175"/>
    <w:qFormat/>
    <w:rPr>
      <w:rFonts w:cs="Times New Roman"/>
    </w:rPr>
  </w:style>
  <w:style w:type="character" w:styleId="ListLabel176">
    <w:name w:val="ListLabel 176"/>
    <w:qFormat/>
    <w:rPr>
      <w:rFonts w:cs="Times New Roman"/>
    </w:rPr>
  </w:style>
  <w:style w:type="character" w:styleId="ListLabel177">
    <w:name w:val="ListLabel 177"/>
    <w:qFormat/>
    <w:rPr>
      <w:rFonts w:cs="Times New Roman"/>
    </w:rPr>
  </w:style>
  <w:style w:type="character" w:styleId="ListLabel178">
    <w:name w:val="ListLabel 178"/>
    <w:qFormat/>
    <w:rPr>
      <w:rFonts w:cs="Times New Roman"/>
    </w:rPr>
  </w:style>
  <w:style w:type="character" w:styleId="ListLabel179">
    <w:name w:val="ListLabel 179"/>
    <w:qFormat/>
    <w:rPr>
      <w:rFonts w:cs="Times New Roman"/>
    </w:rPr>
  </w:style>
  <w:style w:type="character" w:styleId="ListLabel180">
    <w:name w:val="ListLabel 180"/>
    <w:qFormat/>
    <w:rPr>
      <w:rFonts w:cs="Times New Roman"/>
    </w:rPr>
  </w:style>
  <w:style w:type="character" w:styleId="ListLabel181">
    <w:name w:val="ListLabel 181"/>
    <w:qFormat/>
    <w:rPr>
      <w:sz w:val="20"/>
    </w:rPr>
  </w:style>
  <w:style w:type="character" w:styleId="ListLabel182">
    <w:name w:val="ListLabel 182"/>
    <w:qFormat/>
    <w:rPr>
      <w:sz w:val="20"/>
    </w:rPr>
  </w:style>
  <w:style w:type="character" w:styleId="ListLabel183">
    <w:name w:val="ListLabel 183"/>
    <w:qFormat/>
    <w:rPr>
      <w:sz w:val="20"/>
    </w:rPr>
  </w:style>
  <w:style w:type="character" w:styleId="ListLabel184">
    <w:name w:val="ListLabel 184"/>
    <w:qFormat/>
    <w:rPr>
      <w:sz w:val="20"/>
    </w:rPr>
  </w:style>
  <w:style w:type="character" w:styleId="ListLabel185">
    <w:name w:val="ListLabel 185"/>
    <w:qFormat/>
    <w:rPr>
      <w:sz w:val="20"/>
    </w:rPr>
  </w:style>
  <w:style w:type="character" w:styleId="ListLabel186">
    <w:name w:val="ListLabel 186"/>
    <w:qFormat/>
    <w:rPr>
      <w:sz w:val="20"/>
    </w:rPr>
  </w:style>
  <w:style w:type="character" w:styleId="ListLabel187">
    <w:name w:val="ListLabel 187"/>
    <w:qFormat/>
    <w:rPr>
      <w:sz w:val="20"/>
    </w:rPr>
  </w:style>
  <w:style w:type="character" w:styleId="ListLabel188">
    <w:name w:val="ListLabel 188"/>
    <w:qFormat/>
    <w:rPr>
      <w:sz w:val="20"/>
    </w:rPr>
  </w:style>
  <w:style w:type="character" w:styleId="ListLabel189">
    <w:name w:val="ListLabel 189"/>
    <w:qFormat/>
    <w:rPr>
      <w:sz w:val="20"/>
    </w:rPr>
  </w:style>
  <w:style w:type="character" w:styleId="ListLabel190">
    <w:name w:val="ListLabel 190"/>
    <w:qFormat/>
    <w:rPr>
      <w:sz w:val="20"/>
    </w:rPr>
  </w:style>
  <w:style w:type="character" w:styleId="ListLabel191">
    <w:name w:val="ListLabel 191"/>
    <w:qFormat/>
    <w:rPr>
      <w:sz w:val="20"/>
    </w:rPr>
  </w:style>
  <w:style w:type="character" w:styleId="ListLabel192">
    <w:name w:val="ListLabel 192"/>
    <w:qFormat/>
    <w:rPr>
      <w:sz w:val="20"/>
    </w:rPr>
  </w:style>
  <w:style w:type="character" w:styleId="ListLabel193">
    <w:name w:val="ListLabel 193"/>
    <w:qFormat/>
    <w:rPr>
      <w:sz w:val="20"/>
    </w:rPr>
  </w:style>
  <w:style w:type="character" w:styleId="ListLabel194">
    <w:name w:val="ListLabel 194"/>
    <w:qFormat/>
    <w:rPr>
      <w:sz w:val="20"/>
    </w:rPr>
  </w:style>
  <w:style w:type="character" w:styleId="ListLabel195">
    <w:name w:val="ListLabel 195"/>
    <w:qFormat/>
    <w:rPr>
      <w:sz w:val="20"/>
    </w:rPr>
  </w:style>
  <w:style w:type="character" w:styleId="ListLabel196">
    <w:name w:val="ListLabel 196"/>
    <w:qFormat/>
    <w:rPr>
      <w:sz w:val="20"/>
    </w:rPr>
  </w:style>
  <w:style w:type="character" w:styleId="ListLabel197">
    <w:name w:val="ListLabel 197"/>
    <w:qFormat/>
    <w:rPr>
      <w:sz w:val="20"/>
    </w:rPr>
  </w:style>
  <w:style w:type="character" w:styleId="ListLabel198">
    <w:name w:val="ListLabel 198"/>
    <w:qFormat/>
    <w:rPr>
      <w:sz w:val="20"/>
    </w:rPr>
  </w:style>
  <w:style w:type="character" w:styleId="ListLabel199">
    <w:name w:val="ListLabel 199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2"/>
      <w:w w:val="100"/>
      <w:sz w:val="28"/>
      <w:szCs w:val="28"/>
      <w:u w:val="none"/>
    </w:rPr>
  </w:style>
  <w:style w:type="character" w:styleId="ListLabel200">
    <w:name w:val="ListLabel 200"/>
    <w:qFormat/>
    <w:rPr>
      <w:rFonts w:cs="Times New Roman"/>
    </w:rPr>
  </w:style>
  <w:style w:type="character" w:styleId="ListLabel201">
    <w:name w:val="ListLabel 201"/>
    <w:qFormat/>
    <w:rPr>
      <w:rFonts w:cs="Times New Roman"/>
    </w:rPr>
  </w:style>
  <w:style w:type="character" w:styleId="ListLabel202">
    <w:name w:val="ListLabel 202"/>
    <w:qFormat/>
    <w:rPr>
      <w:rFonts w:cs="Times New Roman"/>
    </w:rPr>
  </w:style>
  <w:style w:type="character" w:styleId="ListLabel203">
    <w:name w:val="ListLabel 203"/>
    <w:qFormat/>
    <w:rPr>
      <w:rFonts w:cs="Times New Roman"/>
    </w:rPr>
  </w:style>
  <w:style w:type="character" w:styleId="ListLabel204">
    <w:name w:val="ListLabel 204"/>
    <w:qFormat/>
    <w:rPr>
      <w:rFonts w:cs="Times New Roman"/>
    </w:rPr>
  </w:style>
  <w:style w:type="character" w:styleId="ListLabel205">
    <w:name w:val="ListLabel 205"/>
    <w:qFormat/>
    <w:rPr>
      <w:rFonts w:cs="Times New Roman"/>
    </w:rPr>
  </w:style>
  <w:style w:type="character" w:styleId="ListLabel206">
    <w:name w:val="ListLabel 206"/>
    <w:qFormat/>
    <w:rPr>
      <w:rFonts w:cs="Times New Roman"/>
    </w:rPr>
  </w:style>
  <w:style w:type="character" w:styleId="ListLabel207">
    <w:name w:val="ListLabel 207"/>
    <w:qFormat/>
    <w:rPr>
      <w:rFonts w:cs="Times New Roman"/>
    </w:rPr>
  </w:style>
  <w:style w:type="character" w:styleId="ListLabel208">
    <w:name w:val="ListLabel 208"/>
    <w:qFormat/>
    <w:rPr>
      <w:rFonts w:cs="Times New Roman"/>
    </w:rPr>
  </w:style>
  <w:style w:type="character" w:styleId="ListLabel209">
    <w:name w:val="ListLabel 209"/>
    <w:qFormat/>
    <w:rPr>
      <w:rFonts w:cs="Times New Roman"/>
    </w:rPr>
  </w:style>
  <w:style w:type="character" w:styleId="ListLabel210">
    <w:name w:val="ListLabel 210"/>
    <w:qFormat/>
    <w:rPr>
      <w:rFonts w:ascii="Times New Roman" w:hAnsi="Times New Roman" w:cs="Times New Roman"/>
      <w:sz w:val="28"/>
    </w:rPr>
  </w:style>
  <w:style w:type="character" w:styleId="ListLabel211">
    <w:name w:val="ListLabel 211"/>
    <w:qFormat/>
    <w:rPr>
      <w:rFonts w:cs="Times New Roman"/>
    </w:rPr>
  </w:style>
  <w:style w:type="character" w:styleId="ListLabel212">
    <w:name w:val="ListLabel 212"/>
    <w:qFormat/>
    <w:rPr>
      <w:rFonts w:cs="Times New Roman"/>
    </w:rPr>
  </w:style>
  <w:style w:type="character" w:styleId="ListLabel213">
    <w:name w:val="ListLabel 213"/>
    <w:qFormat/>
    <w:rPr>
      <w:rFonts w:cs="Times New Roman"/>
    </w:rPr>
  </w:style>
  <w:style w:type="character" w:styleId="ListLabel214">
    <w:name w:val="ListLabel 214"/>
    <w:qFormat/>
    <w:rPr>
      <w:rFonts w:cs="Times New Roman"/>
    </w:rPr>
  </w:style>
  <w:style w:type="character" w:styleId="ListLabel215">
    <w:name w:val="ListLabel 215"/>
    <w:qFormat/>
    <w:rPr>
      <w:rFonts w:cs="Times New Roman"/>
    </w:rPr>
  </w:style>
  <w:style w:type="character" w:styleId="ListLabel216">
    <w:name w:val="ListLabel 216"/>
    <w:qFormat/>
    <w:rPr>
      <w:rFonts w:cs="Times New Roman"/>
    </w:rPr>
  </w:style>
  <w:style w:type="character" w:styleId="ListLabel217">
    <w:name w:val="ListLabel 217"/>
    <w:qFormat/>
    <w:rPr>
      <w:rFonts w:ascii="Times New Roman" w:hAnsi="Times New Roman" w:eastAsia="Times New Roman" w:cs="Times New Roman"/>
      <w:b w:val="false"/>
      <w:bCs w:val="false"/>
      <w:i w:val="false"/>
      <w:iCs w:val="false"/>
      <w:caps w:val="false"/>
      <w:smallCaps w:val="false"/>
      <w:strike w:val="false"/>
      <w:dstrike w:val="false"/>
      <w:color w:val="000000"/>
      <w:spacing w:val="2"/>
      <w:w w:val="100"/>
      <w:sz w:val="28"/>
      <w:szCs w:val="28"/>
      <w:u w:val="none"/>
    </w:rPr>
  </w:style>
  <w:style w:type="character" w:styleId="ListLabel218">
    <w:name w:val="ListLabel 218"/>
    <w:qFormat/>
    <w:rPr>
      <w:rFonts w:cs="Times New Roman"/>
    </w:rPr>
  </w:style>
  <w:style w:type="character" w:styleId="ListLabel219">
    <w:name w:val="ListLabel 219"/>
    <w:qFormat/>
    <w:rPr>
      <w:rFonts w:cs="Times New Roman"/>
    </w:rPr>
  </w:style>
  <w:style w:type="character" w:styleId="ListLabel220">
    <w:name w:val="ListLabel 220"/>
    <w:qFormat/>
    <w:rPr>
      <w:rFonts w:cs="Times New Roman"/>
    </w:rPr>
  </w:style>
  <w:style w:type="character" w:styleId="ListLabel221">
    <w:name w:val="ListLabel 221"/>
    <w:qFormat/>
    <w:rPr>
      <w:rFonts w:cs="Times New Roman"/>
    </w:rPr>
  </w:style>
  <w:style w:type="character" w:styleId="ListLabel222">
    <w:name w:val="ListLabel 222"/>
    <w:qFormat/>
    <w:rPr>
      <w:rFonts w:cs="Times New Roman"/>
    </w:rPr>
  </w:style>
  <w:style w:type="character" w:styleId="ListLabel223">
    <w:name w:val="ListLabel 223"/>
    <w:qFormat/>
    <w:rPr>
      <w:rFonts w:cs="Times New Roman"/>
    </w:rPr>
  </w:style>
  <w:style w:type="character" w:styleId="ListLabel224">
    <w:name w:val="ListLabel 224"/>
    <w:qFormat/>
    <w:rPr>
      <w:rFonts w:cs="Times New Roman"/>
    </w:rPr>
  </w:style>
  <w:style w:type="character" w:styleId="ListLabel225">
    <w:name w:val="ListLabel 225"/>
    <w:qFormat/>
    <w:rPr>
      <w:rFonts w:cs="Times New Roman"/>
    </w:rPr>
  </w:style>
  <w:style w:type="character" w:styleId="ListLabel226">
    <w:name w:val="ListLabel 226"/>
    <w:qFormat/>
    <w:rPr>
      <w:rFonts w:cs="Times New Roman"/>
    </w:rPr>
  </w:style>
  <w:style w:type="character" w:styleId="ListLabel227">
    <w:name w:val="ListLabel 227"/>
    <w:qFormat/>
    <w:rPr>
      <w:rFonts w:cs="Times New Roman"/>
    </w:rPr>
  </w:style>
  <w:style w:type="character" w:styleId="ListLabel228">
    <w:name w:val="ListLabel 228"/>
    <w:qFormat/>
    <w:rPr>
      <w:rFonts w:ascii="Times New Roman" w:hAnsi="Times New Roman" w:cs="Times New Roman"/>
      <w:sz w:val="28"/>
    </w:rPr>
  </w:style>
  <w:style w:type="character" w:styleId="ListLabel229">
    <w:name w:val="ListLabel 229"/>
    <w:qFormat/>
    <w:rPr>
      <w:rFonts w:cs="Times New Roman"/>
    </w:rPr>
  </w:style>
  <w:style w:type="character" w:styleId="ListLabel230">
    <w:name w:val="ListLabel 230"/>
    <w:qFormat/>
    <w:rPr>
      <w:rFonts w:cs="Times New Roman"/>
    </w:rPr>
  </w:style>
  <w:style w:type="character" w:styleId="ListLabel231">
    <w:name w:val="ListLabel 231"/>
    <w:qFormat/>
    <w:rPr>
      <w:rFonts w:cs="Times New Roman"/>
    </w:rPr>
  </w:style>
  <w:style w:type="character" w:styleId="ListLabel232">
    <w:name w:val="ListLabel 232"/>
    <w:qFormat/>
    <w:rPr>
      <w:rFonts w:cs="Times New Roman"/>
    </w:rPr>
  </w:style>
  <w:style w:type="character" w:styleId="ListLabel233">
    <w:name w:val="ListLabel 233"/>
    <w:qFormat/>
    <w:rPr>
      <w:rFonts w:cs="Times New Roman"/>
    </w:rPr>
  </w:style>
  <w:style w:type="character" w:styleId="ListLabel234">
    <w:name w:val="ListLabel 234"/>
    <w:qFormat/>
    <w:rPr>
      <w:rFonts w:cs="Times New Roman"/>
    </w:rPr>
  </w:style>
  <w:style w:type="paragraph" w:styleId="Style24">
    <w:name w:val="Заголовок"/>
    <w:basedOn w:val="Normal"/>
    <w:next w:val="Style25"/>
    <w:qFormat/>
    <w:pPr>
      <w:keepNext w:val="true"/>
      <w:spacing w:before="240" w:after="120"/>
    </w:pPr>
    <w:rPr>
      <w:rFonts w:ascii="Liberation Sans" w:hAnsi="Liberation Sans" w:eastAsia="Tahoma" w:cs="Droid Sans Devanagari"/>
      <w:sz w:val="28"/>
      <w:szCs w:val="28"/>
    </w:rPr>
  </w:style>
  <w:style w:type="paragraph" w:styleId="Style25">
    <w:name w:val="Body Text"/>
    <w:basedOn w:val="Normal"/>
    <w:pPr>
      <w:spacing w:lineRule="auto" w:line="276" w:before="0" w:after="140"/>
    </w:pPr>
    <w:rPr/>
  </w:style>
  <w:style w:type="paragraph" w:styleId="Style26">
    <w:name w:val="List"/>
    <w:basedOn w:val="Style25"/>
    <w:pPr/>
    <w:rPr>
      <w:rFonts w:cs="Droid Sans Devanagari"/>
    </w:rPr>
  </w:style>
  <w:style w:type="paragraph" w:styleId="Style27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Style28">
    <w:name w:val="Указатель"/>
    <w:basedOn w:val="Normal"/>
    <w:qFormat/>
    <w:pPr>
      <w:suppressLineNumbers/>
    </w:pPr>
    <w:rPr>
      <w:rFonts w:cs="Droid Sans Devanagari"/>
    </w:rPr>
  </w:style>
  <w:style w:type="paragraph" w:styleId="Style29">
    <w:name w:val="Footnote Text"/>
    <w:basedOn w:val="Normal"/>
    <w:link w:val="af0"/>
    <w:uiPriority w:val="99"/>
    <w:semiHidden/>
    <w:rsid w:val="00de476e"/>
    <w:pPr/>
    <w:rPr>
      <w:sz w:val="20"/>
      <w:szCs w:val="20"/>
    </w:rPr>
  </w:style>
  <w:style w:type="paragraph" w:styleId="11" w:customStyle="1">
    <w:name w:val="Основной текст1"/>
    <w:basedOn w:val="Normal"/>
    <w:link w:val="a6"/>
    <w:uiPriority w:val="99"/>
    <w:qFormat/>
    <w:rsid w:val="002338d1"/>
    <w:pPr>
      <w:shd w:val="clear" w:color="auto" w:fill="FFFFFF"/>
      <w:spacing w:lineRule="exact" w:line="317"/>
      <w:jc w:val="right"/>
    </w:pPr>
    <w:rPr>
      <w:rFonts w:ascii="Times New Roman" w:hAnsi="Times New Roman" w:eastAsia="Times New Roman" w:cs="Times New Roman"/>
    </w:rPr>
  </w:style>
  <w:style w:type="paragraph" w:styleId="12" w:customStyle="1">
    <w:name w:val="Колонтитул1"/>
    <w:basedOn w:val="Normal"/>
    <w:link w:val="a7"/>
    <w:uiPriority w:val="99"/>
    <w:qFormat/>
    <w:rsid w:val="002338d1"/>
    <w:pPr>
      <w:shd w:val="clear" w:color="auto" w:fill="FFFFFF"/>
      <w:spacing w:lineRule="atLeast" w:line="240"/>
    </w:pPr>
    <w:rPr>
      <w:rFonts w:ascii="Times New Roman" w:hAnsi="Times New Roman" w:eastAsia="Times New Roman" w:cs="Times New Roman"/>
      <w:sz w:val="22"/>
      <w:szCs w:val="22"/>
    </w:rPr>
  </w:style>
  <w:style w:type="paragraph" w:styleId="42" w:customStyle="1">
    <w:name w:val="Основной текст (4)"/>
    <w:basedOn w:val="Normal"/>
    <w:link w:val="4"/>
    <w:uiPriority w:val="99"/>
    <w:qFormat/>
    <w:rsid w:val="002338d1"/>
    <w:pPr>
      <w:shd w:val="clear" w:color="auto" w:fill="FFFFFF"/>
      <w:spacing w:lineRule="exact" w:line="307"/>
      <w:jc w:val="both"/>
    </w:pPr>
    <w:rPr>
      <w:rFonts w:ascii="Times New Roman" w:hAnsi="Times New Roman" w:eastAsia="Times New Roman" w:cs="Times New Roman"/>
      <w:i/>
      <w:iCs/>
    </w:rPr>
  </w:style>
  <w:style w:type="paragraph" w:styleId="Style30">
    <w:name w:val="Body Text Indent"/>
    <w:basedOn w:val="Normal"/>
    <w:link w:val="ab"/>
    <w:uiPriority w:val="99"/>
    <w:rsid w:val="00b26611"/>
    <w:pPr>
      <w:widowControl/>
      <w:ind w:left="4860" w:hanging="0"/>
    </w:pPr>
    <w:rPr>
      <w:rFonts w:ascii="Times New Roman" w:hAnsi="Times New Roman" w:eastAsia="Times New Roman" w:cs="Times New Roman"/>
      <w:color w:val="auto"/>
      <w:sz w:val="28"/>
    </w:rPr>
  </w:style>
  <w:style w:type="paragraph" w:styleId="ListParagraph">
    <w:name w:val="List Paragraph"/>
    <w:basedOn w:val="Normal"/>
    <w:uiPriority w:val="99"/>
    <w:qFormat/>
    <w:rsid w:val="00b26611"/>
    <w:pPr>
      <w:spacing w:before="0" w:after="0"/>
      <w:ind w:left="720" w:hanging="0"/>
      <w:contextualSpacing/>
    </w:pPr>
    <w:rPr/>
  </w:style>
  <w:style w:type="paragraph" w:styleId="2" w:customStyle="1">
    <w:name w:val="Основной текст2"/>
    <w:basedOn w:val="Normal"/>
    <w:uiPriority w:val="99"/>
    <w:qFormat/>
    <w:rsid w:val="00e97e23"/>
    <w:pPr>
      <w:shd w:val="clear" w:color="auto" w:fill="FFFFFF"/>
      <w:spacing w:lineRule="atLeast" w:line="240" w:before="60" w:after="0"/>
      <w:jc w:val="center"/>
    </w:pPr>
    <w:rPr>
      <w:rFonts w:ascii="Times New Roman" w:hAnsi="Times New Roman" w:eastAsia="Times New Roman" w:cs="Times New Roman"/>
      <w:spacing w:val="2"/>
    </w:rPr>
  </w:style>
  <w:style w:type="paragraph" w:styleId="BalloonText">
    <w:name w:val="Balloon Text"/>
    <w:basedOn w:val="Normal"/>
    <w:link w:val="ae"/>
    <w:uiPriority w:val="99"/>
    <w:semiHidden/>
    <w:qFormat/>
    <w:rsid w:val="00654186"/>
    <w:pPr/>
    <w:rPr>
      <w:rFonts w:ascii="Tahoma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99"/>
    <w:qFormat/>
    <w:locked/>
    <w:rsid w:val="0070556a"/>
    <w:pPr>
      <w:widowControl/>
      <w:jc w:val="both"/>
    </w:pPr>
    <w:rPr>
      <w:rFonts w:ascii="Times New Roman" w:hAnsi="Times New Roman" w:cs="Times New Roman"/>
      <w:b/>
      <w:bCs/>
      <w:color w:val="4F81BD"/>
      <w:sz w:val="18"/>
      <w:szCs w:val="18"/>
      <w:lang w:val="en-US" w:eastAsia="en-US"/>
    </w:rPr>
  </w:style>
  <w:style w:type="paragraph" w:styleId="13" w:customStyle="1">
    <w:name w:val="Без интервала1"/>
    <w:link w:val="af2"/>
    <w:uiPriority w:val="99"/>
    <w:qFormat/>
    <w:rsid w:val="0070556a"/>
    <w:pPr>
      <w:widowControl/>
      <w:bidi w:val="0"/>
      <w:jc w:val="left"/>
    </w:pPr>
    <w:rPr>
      <w:rFonts w:ascii="Calibri" w:hAnsi="Calibri" w:eastAsia="Courier New" w:cs="Times New Roman"/>
      <w:color w:val="auto"/>
      <w:kern w:val="0"/>
      <w:sz w:val="24"/>
      <w:szCs w:val="22"/>
      <w:lang w:val="en-US" w:eastAsia="en-US" w:bidi="ar-SA"/>
    </w:rPr>
  </w:style>
  <w:style w:type="paragraph" w:styleId="14" w:customStyle="1">
    <w:name w:val="Абзац списка1"/>
    <w:basedOn w:val="Normal"/>
    <w:link w:val="af3"/>
    <w:uiPriority w:val="99"/>
    <w:qFormat/>
    <w:rsid w:val="0070556a"/>
    <w:pPr>
      <w:widowControl/>
      <w:spacing w:before="0" w:after="0"/>
      <w:ind w:left="720" w:hanging="0"/>
      <w:contextualSpacing/>
      <w:jc w:val="both"/>
    </w:pPr>
    <w:rPr>
      <w:rFonts w:cs="Times New Roman"/>
      <w:color w:val="auto"/>
      <w:sz w:val="22"/>
      <w:szCs w:val="20"/>
      <w:lang w:val="en-US" w:eastAsia="en-US"/>
    </w:rPr>
  </w:style>
  <w:style w:type="paragraph" w:styleId="NormalWeb">
    <w:name w:val="Normal (Web)"/>
    <w:basedOn w:val="Normal"/>
    <w:uiPriority w:val="99"/>
    <w:qFormat/>
    <w:rsid w:val="0014199e"/>
    <w:pPr>
      <w:widowControl/>
      <w:spacing w:beforeAutospacing="1" w:afterAutospacing="1"/>
    </w:pPr>
    <w:rPr>
      <w:rFonts w:ascii="Times New Roman" w:hAnsi="Times New Roman" w:cs="Times New Roman"/>
      <w:color w:val="auto"/>
    </w:rPr>
  </w:style>
  <w:style w:type="paragraph" w:styleId="ConsPlusNormal">
    <w:name w:val="ConsPlusNormal"/>
    <w:qFormat/>
    <w:pPr>
      <w:widowControl w:val="false"/>
      <w:suppressAutoHyphens w:val="true"/>
      <w:bidi w:val="0"/>
      <w:jc w:val="left"/>
    </w:pPr>
    <w:rPr>
      <w:rFonts w:ascii="Calibri" w:hAnsi="Calibri" w:eastAsia="Times New Roman" w:cs="Calibri"/>
      <w:color w:val="auto"/>
      <w:kern w:val="0"/>
      <w:sz w:val="22"/>
      <w:szCs w:val="20"/>
      <w:lang w:val="ru-RU" w:eastAsia="zh-CN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402</TotalTime>
  <Application>LibreOffice/6.2.8.2$Linux_X86_64 LibreOffice_project/20$Build-2</Application>
  <Pages>9</Pages>
  <Words>2156</Words>
  <Characters>16369</Characters>
  <CharactersWithSpaces>18391</CharactersWithSpaces>
  <Paragraphs>161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2017-12-15T11:20:00Z</dcterms:created>
  <dc:creator>buh5</dc:creator>
  <dc:description/>
  <dc:language>ru-RU</dc:language>
  <cp:lastModifiedBy/>
  <cp:lastPrinted>2022-12-14T10:19:48Z</cp:lastPrinted>
  <dcterms:modified xsi:type="dcterms:W3CDTF">2024-02-14T13:23:24Z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