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keepNext w:val="true"/>
        <w:widowControl/>
        <w:bidi w:val="0"/>
        <w:spacing w:lineRule="auto" w:line="240" w:before="0" w:after="0"/>
        <w:ind w:left="0" w:right="0" w:hanging="0"/>
        <w:jc w:val="center"/>
        <w:outlineLvl w:val="0"/>
        <w:rPr/>
      </w:pPr>
      <w:r>
        <w:rPr>
          <w:sz w:val="28"/>
          <w:szCs w:val="28"/>
        </w:rPr>
        <w:t>Положения должностного регламента</w:t>
      </w:r>
    </w:p>
    <w:p>
      <w:pPr>
        <w:pStyle w:val="11"/>
        <w:shd w:val="clear" w:color="auto" w:fill="auto"/>
        <w:spacing w:lineRule="auto" w:line="240" w:before="0" w:after="0"/>
        <w:ind w:right="20" w:hanging="0"/>
        <w:rPr/>
      </w:pPr>
      <w:r>
        <w:rPr/>
      </w:r>
    </w:p>
    <w:p>
      <w:pPr>
        <w:pStyle w:val="Style19"/>
        <w:ind w:left="0" w:hanging="0"/>
        <w:jc w:val="center"/>
        <w:rPr/>
      </w:pPr>
      <w:r>
        <w:rPr>
          <w:b/>
          <w:szCs w:val="28"/>
        </w:rPr>
        <w:t>Должностные обязанности</w:t>
      </w:r>
    </w:p>
    <w:p>
      <w:pPr>
        <w:pStyle w:val="Style19"/>
        <w:ind w:left="0" w:hanging="0"/>
        <w:jc w:val="both"/>
        <w:rPr>
          <w:sz w:val="24"/>
        </w:rPr>
      </w:pPr>
      <w:r>
        <w:rPr>
          <w:sz w:val="24"/>
        </w:rPr>
      </w:r>
    </w:p>
    <w:p>
      <w:pPr>
        <w:pStyle w:val="Style19"/>
        <w:ind w:left="0" w:firstLine="708"/>
        <w:jc w:val="both"/>
        <w:rPr/>
      </w:pPr>
      <w:r>
        <w:rPr>
          <w:szCs w:val="28"/>
        </w:rPr>
        <w:t>Заместитель начальника территориального отдела Управления обязан:</w:t>
      </w:r>
    </w:p>
    <w:p>
      <w:pPr>
        <w:pStyle w:val="ConsPlusNormal"/>
        <w:ind w:firstLine="708"/>
        <w:jc w:val="both"/>
        <w:rPr/>
      </w:pPr>
      <w:r>
        <w:rPr>
          <w:szCs w:val="28"/>
        </w:rPr>
        <w:t xml:space="preserve">В соответствии со </w:t>
      </w:r>
      <w:hyperlink r:id="rId2">
        <w:r>
          <w:rPr>
            <w:rStyle w:val="ListLabel100"/>
            <w:szCs w:val="28"/>
          </w:rPr>
          <w:t>статьей 15</w:t>
        </w:r>
      </w:hyperlink>
      <w:r>
        <w:rPr>
          <w:szCs w:val="28"/>
        </w:rPr>
        <w:t xml:space="preserve"> Федерального закона от 27 июля 2004 г. № 79-ФЗ "О государственной гражданской службе Российской Федерации":</w:t>
      </w:r>
    </w:p>
    <w:p>
      <w:pPr>
        <w:pStyle w:val="ConsPlusNormal"/>
        <w:ind w:firstLine="708"/>
        <w:jc w:val="both"/>
        <w:rPr/>
      </w:pPr>
      <w:r>
        <w:rPr>
          <w:szCs w:val="28"/>
        </w:rPr>
        <w:t xml:space="preserve">соблюдать </w:t>
      </w:r>
      <w:hyperlink r:id="rId3">
        <w:r>
          <w:rPr>
            <w:rStyle w:val="ListLabel100"/>
            <w:szCs w:val="28"/>
          </w:rPr>
          <w:t>Конституцию</w:t>
        </w:r>
      </w:hyperlink>
      <w:r>
        <w:rPr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исполнять должностные обязанности в соответствии с должностным регламентом;</w:t>
      </w:r>
    </w:p>
    <w:p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соблюдать при исполнении должностных обязанностей права и законные интересы граждан и организаций;</w:t>
      </w:r>
    </w:p>
    <w:p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соблюдать служебный распорядок;</w:t>
      </w:r>
    </w:p>
    <w:p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беречь государственное имущество, в том числе предоставленное ему для исполнения должностных обязанностей;</w:t>
      </w:r>
    </w:p>
    <w:p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представлять в установленном порядке предусмотренные федеральным законом сведения о себе и членах своей семьи;</w:t>
      </w:r>
    </w:p>
    <w:p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>
      <w:pPr>
        <w:pStyle w:val="ConsPlusNormal"/>
        <w:ind w:firstLine="708"/>
        <w:jc w:val="both"/>
        <w:rPr/>
      </w:pPr>
      <w:r>
        <w:rPr>
          <w:szCs w:val="28"/>
        </w:rPr>
        <w:t xml:space="preserve">соблюдать ограничения, выполнять обязательства и требования к служебному поведению, не нарушать запреты, которые установлены Федеральным </w:t>
      </w:r>
      <w:hyperlink r:id="rId4">
        <w:r>
          <w:rPr>
            <w:rStyle w:val="ListLabel100"/>
            <w:szCs w:val="28"/>
          </w:rPr>
          <w:t>законом</w:t>
        </w:r>
      </w:hyperlink>
      <w:r>
        <w:rPr>
          <w:szCs w:val="28"/>
        </w:rPr>
        <w:t xml:space="preserve"> от 27 июля 2004 г. № 79-ФЗ "О государственной гражданской службе Российской Федерации" и другими федеральными законами;</w:t>
      </w:r>
    </w:p>
    <w:p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>
      <w:pPr>
        <w:pStyle w:val="ConsPlusNormal"/>
        <w:ind w:firstLine="708"/>
        <w:jc w:val="both"/>
        <w:rPr/>
      </w:pPr>
      <w:r>
        <w:rPr>
          <w:szCs w:val="28"/>
        </w:rPr>
        <w:t xml:space="preserve">соблюдать общие </w:t>
      </w:r>
      <w:hyperlink r:id="rId5">
        <w:r>
          <w:rPr>
            <w:rStyle w:val="ListLabel100"/>
            <w:szCs w:val="28"/>
          </w:rPr>
          <w:t>принципы</w:t>
        </w:r>
      </w:hyperlink>
      <w:r>
        <w:rPr>
          <w:szCs w:val="28"/>
        </w:rPr>
        <w:t xml:space="preserve"> служебного поведения гражданских служащих, утвержденные Указом Президента Российской Федерации от 12 августа 2002 г. № 885 "Об утверждении общих принципов служебного поведения государственных служащих".</w:t>
      </w:r>
    </w:p>
    <w:p>
      <w:pPr>
        <w:pStyle w:val="ConsPlusNormal"/>
        <w:ind w:firstLine="708"/>
        <w:jc w:val="both"/>
        <w:rPr/>
      </w:pPr>
      <w:r>
        <w:rPr>
          <w:szCs w:val="28"/>
        </w:rPr>
        <w:t>Функциональные обязанности гражданского служащего с учетом области профессиональной служебной деятельности гражданского служащего и вида профессиональной служебной деятельности гражданского служащего.</w:t>
      </w:r>
    </w:p>
    <w:p>
      <w:pPr>
        <w:pStyle w:val="11"/>
        <w:numPr>
          <w:ilvl w:val="0"/>
          <w:numId w:val="1"/>
        </w:numPr>
        <w:shd w:val="clear" w:color="auto" w:fill="auto"/>
        <w:tabs>
          <w:tab w:val="clear" w:pos="708"/>
          <w:tab w:val="left" w:pos="0" w:leader="none"/>
        </w:tabs>
        <w:spacing w:lineRule="auto" w:line="240" w:before="0" w:after="0"/>
        <w:ind w:firstLine="708"/>
        <w:rPr/>
      </w:pPr>
      <w:r>
        <w:rPr/>
        <w:t xml:space="preserve">проведение проверок, санитарно-эпидемиологических расследований, административных расследований, </w:t>
      </w:r>
      <w:r>
        <w:rPr/>
        <w:t>контрольной закупки</w:t>
      </w:r>
      <w:r>
        <w:rPr/>
        <w:t xml:space="preserve"> в отношении юридических лиц, индивидуальных предпринимателей и граждан, расположенных на территории </w:t>
      </w:r>
      <w:r>
        <w:rPr/>
        <w:t xml:space="preserve">Новоусманского, Верхнехавского, Панинского, Рамонского </w:t>
      </w:r>
      <w:r>
        <w:rPr/>
        <w:t>муниципальных образований Воронежской области, в установленной сфере деятельности;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>расследование случаев пищевых отравлений, инфекционных заболеваний, профессиональных заболеваний и массовых неинфекционных заболеваний;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>участие в формировании годовых (квартальных) планов деятельности, организация и контроль их исполнения в части выполнения задач и функций территориального отдела;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 xml:space="preserve">формирование и контроль исполнения государственного задания для филиала ФБУЗ «Центр гигиены и эпидемиологии в Воронежской области» в </w:t>
      </w:r>
      <w:r>
        <w:rPr/>
        <w:t xml:space="preserve">Новоусманском, Верхнехавском, Панинском, Рамонском </w:t>
      </w:r>
      <w:r>
        <w:rPr/>
        <w:t>районах;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>организация и контроль за проведением необходимых исследований, испытаний, экспертиз, анализов и оценок по вопросам осуществления федерального государственного санитарно-эпидемиологического надзора в пределах компетенции территориального отдела;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>организация, контроль и координация подготовки ежегодных докладов о санитарно-эпидемиологическом благополучии населения;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>организация и контроль своевременности и достоверности информации, направляемой в органы государственной исполнительной власти, органы местного самоуправления, населению о состоянии среды обитания, возникновении массовых неинфекционных заболеваний (отравлений) и проводимых санитарно-гигиенических (профилактических) мероприятиях;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>организация и контроль своевременности, качества и достоверности выполнения законодательных и нормативных документов, приказов, указаний, запросов вышестоящих организаций в пределах компетенции территориального отдела;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>организация и контроль своевременного и полного рассмотрения обращений, запросов органов государственной власти, местного самоуправления, юридических лиц и индивидуальных предпринимателей, а также граждан в установленные сроки;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>организация и контроль своевременности, качества, полноты и достоверности подготавливаемых материалов по надзору, административных расследований, исполнения предписаний, представлений;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>подготовка аналитических материалов по вопросам санитарно- эпидемиологического благополучия населения, защиты прав потребителей;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>анализ проведенных надзорных мероприятий для подготовки проектов постановлений, решений коллегий, приказов, справочных и информационных материалов;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>подготовка аналитических материалов для размещения в средствах массовой информации и на официальном сайте Управления;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>организация и обеспечение государственного учета и сбора статистической отчетности в пределах компетенции территориального отдела;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>участие в рабочих совещаниях с анализом проведенной работы;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>по решению руководства принимает участие в работе советов, комиссий, рабочих групп органов государственной исполнительной власти и местного самоуправления по вопросам, входящим в его компетенцию;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>организует взаимодействие с органами государственной власти и местного самоуправления по вопросам, входящим в его компетенцию;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>представление интересов Управления в судебных органах по гражданским и административным делам;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>контроль за деятельность</w:t>
      </w:r>
      <w:r>
        <w:rPr/>
        <w:t>ю</w:t>
      </w:r>
      <w:r>
        <w:rPr/>
        <w:t xml:space="preserve"> подчиненных специалистов;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>организация и контроль за должностными лицами территориального отдела по внесению сведений в АС «КАИС-Комлекс;</w:t>
      </w:r>
    </w:p>
    <w:p>
      <w:pPr>
        <w:pStyle w:val="11"/>
        <w:shd w:val="clear" w:color="auto" w:fill="auto"/>
        <w:tabs>
          <w:tab w:val="clear" w:pos="708"/>
          <w:tab w:val="left" w:pos="0" w:leader="none"/>
        </w:tabs>
        <w:spacing w:lineRule="auto" w:line="240" w:before="0" w:after="0"/>
        <w:ind w:firstLine="708"/>
        <w:rPr/>
      </w:pPr>
      <w:r>
        <w:rPr/>
        <w:t>- контроль и обеспечение полноты и достоверности, соблюдения установленных сроков внесения сведений вносимых в Единый реестр проверок требованиям, установленным Правилами и Порядком;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>самостоятельно отслеживать соответствие норм должностного регламента исполняемым обязанностям, правам и иным конкретным действиям. При выявлении расхождений ставить вопрос о внесении соответствующих изменений в действующий регламент;</w:t>
      </w:r>
    </w:p>
    <w:p>
      <w:pPr>
        <w:pStyle w:val="11"/>
        <w:numPr>
          <w:ilvl w:val="0"/>
          <w:numId w:val="1"/>
        </w:numPr>
        <w:shd w:val="clear" w:color="auto" w:fill="auto"/>
        <w:spacing w:lineRule="auto" w:line="240" w:before="0" w:after="0"/>
        <w:ind w:firstLine="708"/>
        <w:rPr/>
      </w:pPr>
      <w:r>
        <w:rPr/>
        <w:t>осуществление иных функций и полномочий в установленной сфере деятельности Управления в соответствии с законодательством Российской Федерации.</w:t>
      </w:r>
    </w:p>
    <w:p>
      <w:pPr>
        <w:pStyle w:val="11"/>
        <w:shd w:val="clear" w:color="auto" w:fill="auto"/>
        <w:spacing w:lineRule="auto" w:line="240" w:before="0" w:after="0"/>
        <w:rPr/>
      </w:pPr>
      <w:r>
        <w:rPr/>
      </w:r>
    </w:p>
    <w:p>
      <w:pPr>
        <w:pStyle w:val="Style19"/>
        <w:ind w:left="0" w:hanging="0"/>
        <w:jc w:val="center"/>
        <w:rPr/>
      </w:pPr>
      <w:r>
        <w:rPr>
          <w:b/>
          <w:szCs w:val="28"/>
        </w:rPr>
        <w:t>Права</w:t>
      </w:r>
    </w:p>
    <w:p>
      <w:pPr>
        <w:pStyle w:val="Style19"/>
        <w:ind w:left="0" w:hanging="0"/>
        <w:jc w:val="both"/>
        <w:rPr>
          <w:sz w:val="24"/>
        </w:rPr>
      </w:pPr>
      <w:r>
        <w:rPr>
          <w:sz w:val="24"/>
        </w:rPr>
      </w:r>
    </w:p>
    <w:p>
      <w:pPr>
        <w:pStyle w:val="Style19"/>
        <w:ind w:left="0" w:firstLine="720"/>
        <w:jc w:val="both"/>
        <w:rPr/>
      </w:pPr>
      <w:r>
        <w:rPr>
          <w:szCs w:val="28"/>
        </w:rPr>
        <w:t>Заместитель начальника территориального отдела Управления имеет право: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/>
      </w:pPr>
      <w:r>
        <w:rPr>
          <w:sz w:val="28"/>
          <w:szCs w:val="28"/>
        </w:rPr>
        <w:t xml:space="preserve">В соответствии со статьей 14 Федерального закона от 27 июля 2004 г. № </w:t>
      </w:r>
      <w:hyperlink r:id="rId6">
        <w:r>
          <w:rPr>
            <w:rStyle w:val="Style12"/>
            <w:color w:val="auto"/>
            <w:sz w:val="28"/>
            <w:szCs w:val="28"/>
            <w:u w:val="none"/>
          </w:rPr>
          <w:t>79-ФЗ</w:t>
        </w:r>
      </w:hyperlink>
      <w:r>
        <w:rPr>
          <w:sz w:val="28"/>
          <w:szCs w:val="28"/>
        </w:rPr>
        <w:t xml:space="preserve"> "О государственной гражданской службе Российской Федерации" на: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/>
      </w:pPr>
      <w:r>
        <w:rPr>
          <w:sz w:val="28"/>
          <w:szCs w:val="28"/>
        </w:rPr>
        <w:t xml:space="preserve">оплату труда и другие выплаты в соответствии с Федеральным законом от 27 июля 2004 г. N </w:t>
      </w:r>
      <w:hyperlink r:id="rId7">
        <w:r>
          <w:rPr>
            <w:rStyle w:val="Style12"/>
            <w:color w:val="auto"/>
            <w:sz w:val="28"/>
            <w:szCs w:val="28"/>
            <w:u w:val="none"/>
          </w:rPr>
          <w:t>79-ФЗ</w:t>
        </w:r>
      </w:hyperlink>
      <w:r>
        <w:rPr>
          <w:sz w:val="28"/>
          <w:szCs w:val="28"/>
        </w:rPr>
        <w:t xml:space="preserve"> "О государственной гражданской службе Российской Федерации", иными нормативными правовыми актами Российской Федерации и со служебным контрактом;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получение в порядке, установленном законодательством Российской Федерации,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доступ в порядке, установленном законодательством Российской Федерации,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доступ в порядке, установленном законодательством Российской Федерации,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защиту сведений о гражданском служащем;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должностной рост на конкурсной основе;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/>
      </w:pPr>
      <w:r>
        <w:rPr>
          <w:sz w:val="28"/>
          <w:szCs w:val="28"/>
        </w:rPr>
        <w:t xml:space="preserve">профессиональное развитие в порядке, установленном Федеральным законом от 27 июля 2004 г. N </w:t>
      </w:r>
      <w:hyperlink r:id="rId8">
        <w:r>
          <w:rPr>
            <w:rStyle w:val="Style12"/>
            <w:color w:val="auto"/>
            <w:sz w:val="28"/>
            <w:szCs w:val="28"/>
            <w:u w:val="none"/>
          </w:rPr>
          <w:t>79-ФЗ</w:t>
        </w:r>
      </w:hyperlink>
      <w:r>
        <w:rPr>
          <w:sz w:val="28"/>
          <w:szCs w:val="28"/>
        </w:rPr>
        <w:t xml:space="preserve"> "О государственной гражданской службе Российской Федерации" и другими федеральными законами;</w:t>
      </w:r>
    </w:p>
    <w:p>
      <w:pPr>
        <w:pStyle w:val="Pj"/>
        <w:spacing w:lineRule="atLeast" w:line="240" w:beforeAutospacing="0" w:before="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членство в профессиональном союзе;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/>
      </w:pPr>
      <w:r>
        <w:rPr>
          <w:sz w:val="28"/>
          <w:szCs w:val="28"/>
        </w:rPr>
        <w:t xml:space="preserve">рассмотрение индивидуальных служебных споров в соответствии с Федеральным законом от 27 июля 2004 г. N </w:t>
      </w:r>
      <w:hyperlink r:id="rId9">
        <w:r>
          <w:rPr>
            <w:rStyle w:val="Style12"/>
            <w:color w:val="auto"/>
            <w:sz w:val="28"/>
            <w:szCs w:val="28"/>
            <w:u w:val="none"/>
          </w:rPr>
          <w:t>79-ФЗ</w:t>
        </w:r>
      </w:hyperlink>
      <w:r>
        <w:rPr>
          <w:sz w:val="28"/>
          <w:szCs w:val="28"/>
        </w:rPr>
        <w:t xml:space="preserve"> "О государственной гражданской службе Российской Федерации" и другими федеральными законами;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по его заявлению служебной проверки;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защиту своих прав и законных интересов на гражданской службе, включая обжалование в суд их нарушения;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/>
      </w:pPr>
      <w:r>
        <w:rPr>
          <w:sz w:val="28"/>
          <w:szCs w:val="28"/>
        </w:rPr>
        <w:t xml:space="preserve">медицинское страхование в соответствии с Федеральным законом от 27 июля 2004 г. N </w:t>
      </w:r>
      <w:hyperlink r:id="rId10">
        <w:r>
          <w:rPr>
            <w:rStyle w:val="Style12"/>
            <w:color w:val="auto"/>
            <w:sz w:val="28"/>
            <w:szCs w:val="28"/>
            <w:u w:val="none"/>
          </w:rPr>
          <w:t>79-ФЗ</w:t>
        </w:r>
      </w:hyperlink>
      <w:r>
        <w:rPr>
          <w:sz w:val="28"/>
          <w:szCs w:val="28"/>
        </w:rPr>
        <w:t xml:space="preserve"> "О государственной гражданской службе Российской Федерации" и федеральным законом о медицинском страховании государственных служащих Российской Федерации;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/>
      </w:pPr>
      <w:r>
        <w:rPr>
          <w:sz w:val="28"/>
          <w:szCs w:val="28"/>
        </w:rPr>
        <w:t xml:space="preserve">государственное пенсионное обеспечение в соответствии с Федеральным законом от 15 декабря 2001 г. N </w:t>
      </w:r>
      <w:hyperlink r:id="rId11">
        <w:r>
          <w:rPr>
            <w:rStyle w:val="Style12"/>
            <w:color w:val="auto"/>
            <w:sz w:val="28"/>
            <w:szCs w:val="28"/>
            <w:u w:val="none"/>
          </w:rPr>
          <w:t>166-ФЗ</w:t>
        </w:r>
      </w:hyperlink>
      <w:r>
        <w:rPr>
          <w:sz w:val="28"/>
          <w:szCs w:val="28"/>
        </w:rPr>
        <w:t xml:space="preserve"> "О государственном пенсионном обеспечении в Российской Федерации";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иные права, предоставленные законодательством Российской Федерации, приказами Роспотребнадзора и служебным контрактом.</w:t>
      </w:r>
    </w:p>
    <w:p>
      <w:pPr>
        <w:pStyle w:val="Style19"/>
        <w:ind w:left="360" w:hanging="0"/>
        <w:jc w:val="both"/>
        <w:rPr>
          <w:szCs w:val="28"/>
        </w:rPr>
      </w:pPr>
      <w:r>
        <w:rPr>
          <w:szCs w:val="28"/>
        </w:rPr>
      </w:r>
    </w:p>
    <w:p>
      <w:pPr>
        <w:pStyle w:val="ConsPlusNormal"/>
        <w:numPr>
          <w:ilvl w:val="0"/>
          <w:numId w:val="0"/>
        </w:numPr>
        <w:jc w:val="center"/>
        <w:outlineLvl w:val="1"/>
        <w:rPr/>
      </w:pPr>
      <w:r>
        <w:rPr>
          <w:b/>
          <w:szCs w:val="28"/>
        </w:rPr>
        <w:t>Ответственность</w:t>
      </w:r>
    </w:p>
    <w:p>
      <w:pPr>
        <w:pStyle w:val="Style19"/>
        <w:ind w:left="360" w:hanging="0"/>
        <w:rPr>
          <w:sz w:val="24"/>
        </w:rPr>
      </w:pPr>
      <w:r>
        <w:rPr>
          <w:sz w:val="24"/>
        </w:rPr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/>
      </w:pPr>
      <w:r>
        <w:rPr>
          <w:sz w:val="28"/>
          <w:szCs w:val="28"/>
        </w:rPr>
        <w:t>Заместитель начальника территориального отдела Управления несет ответственность в пределах, определенных законодательством Российской Федерации: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неисполнение или ненадлежащее исполнение возложенных на него обязанностей;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несохранение государственной тайны, а также разглашение сведений, ставших ему известными в связи с исполнением должностных обязанностей;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действие или бездействие, ведущее к нарушению прав и законных интересов граждан, организаций;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причинение материального, имущественного ущерба;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несвоевременное выполнение заданий, приказов, распоряжений и поручений вышестоящих в порядке подчиненности руководителей, за исключением незаконных;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несвоевременное рассмотрение в пределах своей компетенции обращений граждан и общественных объединений, а также учреждений и иных организаций, государственных органов и органов местного самоуправления;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совершение действий, затрудняющих работу органов государственной власти, а также приводящих к подрыву авторитета государственных гражданских служащих;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несоблюдение обязанностей, запретов и ограничений, установленных законодательством о государственной службе и противодействию коррупции;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нарушение положений настоящего должностного регламента.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Гражданский служащий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>
      <w:pPr>
        <w:pStyle w:val="Pj"/>
        <w:spacing w:lineRule="atLeast" w:line="240"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исполнения гражданским служащим неправомерного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законами.</w:t>
      </w:r>
    </w:p>
    <w:p>
      <w:pPr>
        <w:pStyle w:val="Style19"/>
        <w:ind w:left="0" w:hanging="0"/>
        <w:jc w:val="both"/>
        <w:rPr>
          <w:szCs w:val="28"/>
        </w:rPr>
      </w:pPr>
      <w:r>
        <w:rPr>
          <w:szCs w:val="28"/>
        </w:rPr>
      </w:r>
    </w:p>
    <w:p>
      <w:pPr>
        <w:pStyle w:val="Pc"/>
        <w:spacing w:lineRule="atLeast" w:line="240" w:beforeAutospacing="0" w:before="0" w:afterAutospacing="0" w:after="0"/>
        <w:jc w:val="center"/>
        <w:rPr/>
      </w:pPr>
      <w:r>
        <w:rPr>
          <w:b/>
          <w:sz w:val="28"/>
          <w:szCs w:val="28"/>
        </w:rPr>
        <w:t>Показатели эффективности и результативности профессиональной служебной деятельности</w:t>
      </w:r>
    </w:p>
    <w:p>
      <w:pPr>
        <w:pStyle w:val="Pc"/>
        <w:spacing w:lineRule="atLeast" w:line="240" w:beforeAutospacing="0" w:before="0" w:afterAutospacing="0" w:after="0"/>
        <w:jc w:val="center"/>
        <w:rPr/>
      </w:pPr>
      <w:r>
        <w:rPr/>
      </w:r>
    </w:p>
    <w:p>
      <w:pPr>
        <w:pStyle w:val="ConsPlusNormal"/>
        <w:ind w:firstLine="720"/>
        <w:jc w:val="both"/>
        <w:rPr/>
      </w:pPr>
      <w:r>
        <w:rPr>
          <w:szCs w:val="28"/>
        </w:rPr>
        <w:t>Э</w:t>
      </w:r>
      <w:r>
        <w:rPr>
          <w:szCs w:val="28"/>
        </w:rPr>
        <w:t>ффективность и результативность профессиональной служебной деятельности заместителя начальника территориального отдела оценивается по следующим показателям:</w:t>
      </w:r>
    </w:p>
    <w:p>
      <w:pPr>
        <w:pStyle w:val="ConsPlusNormal"/>
        <w:ind w:firstLine="720"/>
        <w:jc w:val="both"/>
        <w:rPr>
          <w:szCs w:val="28"/>
        </w:rPr>
      </w:pPr>
      <w:r>
        <w:rPr>
          <w:szCs w:val="28"/>
        </w:rPr>
        <w:t>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>
      <w:pPr>
        <w:pStyle w:val="ConsPlusNormal"/>
        <w:ind w:firstLine="720"/>
        <w:jc w:val="both"/>
        <w:rPr>
          <w:szCs w:val="28"/>
        </w:rPr>
      </w:pPr>
      <w:r>
        <w:rPr>
          <w:szCs w:val="28"/>
        </w:rPr>
        <w:t>качеству выполненной работы: подготовка документов в соответствии с установленными требованиями, полное и логичное изложение материала, юридически грамотное составление документов, отсутствие стилистических и грамматических ошибок;</w:t>
      </w:r>
    </w:p>
    <w:p>
      <w:pPr>
        <w:pStyle w:val="ConsPlusNormal"/>
        <w:ind w:firstLine="720"/>
        <w:jc w:val="both"/>
        <w:rPr>
          <w:szCs w:val="28"/>
        </w:rPr>
      </w:pPr>
      <w:r>
        <w:rPr>
          <w:szCs w:val="28"/>
        </w:rPr>
        <w:t>количеству возвратов на доработку ранее подготовленных документов;</w:t>
      </w:r>
    </w:p>
    <w:p>
      <w:pPr>
        <w:pStyle w:val="ConsPlusNormal"/>
        <w:ind w:firstLine="720"/>
        <w:jc w:val="both"/>
        <w:rPr>
          <w:szCs w:val="28"/>
        </w:rPr>
      </w:pPr>
      <w:r>
        <w:rPr>
          <w:szCs w:val="28"/>
        </w:rPr>
        <w:t>количеству повторных обращений по рассматриваемым вопросам;</w:t>
      </w:r>
    </w:p>
    <w:p>
      <w:pPr>
        <w:pStyle w:val="ConsPlusNormal"/>
        <w:ind w:firstLine="720"/>
        <w:jc w:val="both"/>
        <w:rPr>
          <w:szCs w:val="28"/>
        </w:rPr>
      </w:pPr>
      <w:r>
        <w:rPr>
          <w:szCs w:val="28"/>
        </w:rPr>
        <w:t>наличию у гражданского служащего поощрений за безупречную и эффективную службу;</w:t>
      </w:r>
    </w:p>
    <w:p>
      <w:pPr>
        <w:pStyle w:val="ConsPlusNormal"/>
        <w:ind w:firstLine="720"/>
        <w:jc w:val="both"/>
        <w:rPr>
          <w:szCs w:val="28"/>
        </w:rPr>
      </w:pPr>
      <w:r>
        <w:rPr>
          <w:szCs w:val="28"/>
        </w:rPr>
        <w:t>оценке профессиональных, организаторских и личностных качеств гражданского служащего по результатам его профессиональной служебной деятельности и с учетом его аттестации, сдачи квалификационного экзамена или иных показателей;</w:t>
      </w:r>
    </w:p>
    <w:p>
      <w:pPr>
        <w:pStyle w:val="ConsPlusNormal"/>
        <w:ind w:firstLine="720"/>
        <w:jc w:val="both"/>
        <w:rPr>
          <w:szCs w:val="28"/>
        </w:rPr>
      </w:pPr>
      <w:r>
        <w:rPr>
          <w:szCs w:val="28"/>
        </w:rP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>
      <w:pPr>
        <w:pStyle w:val="ConsPlusNormal"/>
        <w:ind w:firstLine="720"/>
        <w:jc w:val="both"/>
        <w:rPr>
          <w:szCs w:val="28"/>
        </w:rPr>
      </w:pPr>
      <w:r>
        <w:rPr>
          <w:szCs w:val="28"/>
        </w:rPr>
        <w:t>своевременности и оперативности выполнения поручений, рассмотрения обращений граждан и юридических лиц, соотношению количества своевременно выполненных к общему количеству индивидуальных поручений;</w:t>
      </w:r>
    </w:p>
    <w:p>
      <w:pPr>
        <w:pStyle w:val="ConsPlusNormal"/>
        <w:ind w:firstLine="720"/>
        <w:jc w:val="both"/>
        <w:rPr>
          <w:szCs w:val="28"/>
        </w:rPr>
      </w:pPr>
      <w:r>
        <w:rPr>
          <w:szCs w:val="28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>
      <w:pPr>
        <w:pStyle w:val="ConsPlusNormal"/>
        <w:ind w:firstLine="720"/>
        <w:jc w:val="both"/>
        <w:rPr>
          <w:szCs w:val="28"/>
        </w:rPr>
      </w:pPr>
      <w:r>
        <w:rPr>
          <w:szCs w:val="28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технологий;</w:t>
      </w:r>
    </w:p>
    <w:p>
      <w:pPr>
        <w:pStyle w:val="ConsPlusNormal"/>
        <w:ind w:firstLine="720"/>
        <w:jc w:val="both"/>
        <w:rPr>
          <w:szCs w:val="28"/>
        </w:rPr>
      </w:pPr>
      <w:r>
        <w:rPr>
          <w:szCs w:val="28"/>
        </w:rPr>
        <w:t>способности быстро адаптироваться к новым условиям и требованиям, самостоятельности выполнения служебных обязанностей;</w:t>
      </w:r>
    </w:p>
    <w:p>
      <w:pPr>
        <w:pStyle w:val="ConsPlusNormal"/>
        <w:ind w:firstLine="720"/>
        <w:jc w:val="both"/>
        <w:rPr>
          <w:szCs w:val="28"/>
        </w:rPr>
      </w:pPr>
      <w:r>
        <w:rPr>
          <w:szCs w:val="28"/>
        </w:rPr>
        <w:t>отсутствию жалоб граждан, юридических лиц на действия (бездействие) гражданского служащего;</w:t>
      </w:r>
    </w:p>
    <w:p>
      <w:pPr>
        <w:pStyle w:val="ConsPlusNormal"/>
        <w:ind w:firstLine="720"/>
        <w:jc w:val="both"/>
        <w:rPr>
          <w:szCs w:val="28"/>
        </w:rPr>
      </w:pPr>
      <w:r>
        <w:rPr>
          <w:szCs w:val="28"/>
        </w:rPr>
        <w:t>осознанию ответственности за последствия своих действий, принимаемых решений;</w:t>
      </w:r>
    </w:p>
    <w:p>
      <w:pPr>
        <w:pStyle w:val="ConsPlusNormal"/>
        <w:ind w:firstLine="720"/>
        <w:jc w:val="both"/>
        <w:rPr>
          <w:szCs w:val="28"/>
        </w:rPr>
      </w:pPr>
      <w:r>
        <w:rPr>
          <w:szCs w:val="28"/>
        </w:rPr>
        <w:t>количество или доля проинформированных юридических лиц, индивидуальных предпринимателей по вопросам соблюдения обязательных требований;</w:t>
      </w:r>
    </w:p>
    <w:p>
      <w:pPr>
        <w:pStyle w:val="ConsPlusNormal"/>
        <w:ind w:firstLine="720"/>
        <w:jc w:val="both"/>
        <w:rPr/>
      </w:pPr>
      <w:r>
        <w:rPr>
          <w:szCs w:val="28"/>
        </w:rPr>
        <w:t>количество объявленных юридическому лицу, индивидуальному предпринимателю предостережений о недопустимости нарушения обязательных требований.</w:t>
      </w:r>
    </w:p>
    <w:sectPr>
      <w:headerReference w:type="default" r:id="rId12"/>
      <w:type w:val="nextPage"/>
      <w:pgSz w:w="11906" w:h="16838"/>
      <w:pgMar w:left="1134" w:right="567" w:header="709" w:top="1134" w:footer="0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roman"/>
    <w:pitch w:val="variable"/>
  </w:font>
  <w:font w:name="Times New Roman"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tabs>
        <w:tab w:val="center" w:pos="4677" w:leader="none"/>
        <w:tab w:val="right" w:pos="9355" w:leader="none"/>
      </w:tabs>
      <w:spacing w:before="0" w:after="20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20"/>
                            <w:pBdr/>
                            <w:spacing w:before="0" w:after="200"/>
                            <w:rPr/>
                          </w:pPr>
                          <w:r>
                            <w:rPr>
                              <w:rStyle w:val="Pagenumber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24"/>
                              <w:szCs w:val="24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24"/>
                              <w:szCs w:val="24"/>
                            </w:rPr>
                            <w:t>6</w:t>
                          </w:r>
                          <w:r>
                            <w:rPr>
                              <w:rStyle w:val="Pagenumber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6.05pt;height:13.8pt;mso-wrap-distance-left:0pt;mso-wrap-distance-right:0pt;mso-wrap-distance-top:0pt;mso-wrap-distance-bottom:0pt;margin-top:0.05pt;mso-position-vertical-relative:text;margin-left:252.1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0"/>
                      <w:pBdr/>
                      <w:spacing w:before="0" w:after="200"/>
                      <w:rPr/>
                    </w:pPr>
                    <w:r>
                      <w:rPr>
                        <w:rStyle w:val="Pagenumber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Style w:val="Pagenumber"/>
                        <w:sz w:val="24"/>
                        <w:szCs w:val="24"/>
                      </w:rPr>
                      <w:instrText> PAGE </w:instrText>
                    </w:r>
                    <w:r>
                      <w:rPr>
                        <w:rStyle w:val="Pagenumber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Style w:val="Pagenumber"/>
                        <w:sz w:val="24"/>
                        <w:szCs w:val="24"/>
                      </w:rPr>
                      <w:t>6</w:t>
                    </w:r>
                    <w:r>
                      <w:rPr>
                        <w:rStyle w:val="Pagenumber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0" w:hanging="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sz w:val="28"/>
        <w:spacing w:val="0"/>
        <w:i w:val="false"/>
        <w:u w:val="none"/>
        <w:b w:val="false"/>
        <w:w w:val="100"/>
        <w:color w:val="000000"/>
      </w:rPr>
    </w:lvl>
    <w:lvl w:ilvl="1">
      <w:start w:val="1"/>
      <w:numFmt w:val="none"/>
      <w:suff w:val="nothing"/>
      <w:lvlText w:val=""/>
      <w:lvlJc w:val="left"/>
      <w:pPr>
        <w:ind w:left="0" w:hanging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hanging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hanging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hanging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hanging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hanging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hanging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hanging="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 Inde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720a7"/>
    <w:pPr>
      <w:widowControl/>
      <w:bidi w:val="0"/>
      <w:spacing w:lineRule="auto" w:line="276" w:before="0" w:after="200"/>
      <w:jc w:val="left"/>
    </w:pPr>
    <w:rPr>
      <w:rFonts w:ascii="Times New Roman" w:hAnsi="Times New Roman" w:eastAsia="Calibri" w:cs="Times New Roman"/>
      <w:color w:val="auto"/>
      <w:kern w:val="0"/>
      <w:sz w:val="20"/>
      <w:szCs w:val="20"/>
      <w:lang w:eastAsia="en-US" w:val="ru-RU" w:bidi="ar-SA"/>
    </w:rPr>
  </w:style>
  <w:style w:type="paragraph" w:styleId="1">
    <w:name w:val="Heading 1"/>
    <w:basedOn w:val="Normal"/>
    <w:next w:val="Normal"/>
    <w:link w:val="Heading1Char"/>
    <w:uiPriority w:val="99"/>
    <w:qFormat/>
    <w:rsid w:val="00617abe"/>
    <w:pPr>
      <w:keepNext w:val="true"/>
      <w:spacing w:lineRule="auto" w:line="240" w:before="60" w:after="60"/>
      <w:ind w:left="6372" w:hanging="0"/>
      <w:jc w:val="both"/>
      <w:outlineLvl w:val="0"/>
    </w:pPr>
    <w:rPr>
      <w:rFonts w:eastAsia="Times New Roman"/>
      <w:b/>
      <w:sz w:val="24"/>
      <w:szCs w:val="24"/>
      <w:lang w:eastAsia="ru-RU"/>
    </w:rPr>
  </w:style>
  <w:style w:type="paragraph" w:styleId="2">
    <w:name w:val="Heading 2"/>
    <w:basedOn w:val="Normal"/>
    <w:next w:val="Normal"/>
    <w:link w:val="Heading2Char"/>
    <w:uiPriority w:val="99"/>
    <w:qFormat/>
    <w:rsid w:val="00de4d00"/>
    <w:pPr>
      <w:keepNext w:val="true"/>
      <w:keepLines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1Char" w:customStyle="1">
    <w:name w:val="Heading 1 Char"/>
    <w:basedOn w:val="DefaultParagraphFont"/>
    <w:link w:val="Heading1"/>
    <w:uiPriority w:val="99"/>
    <w:qFormat/>
    <w:locked/>
    <w:rsid w:val="00617abe"/>
    <w:rPr>
      <w:rFonts w:eastAsia="Times New Roman" w:cs="Times New Roman"/>
      <w:b/>
      <w:sz w:val="24"/>
      <w:szCs w:val="24"/>
      <w:lang w:eastAsia="ru-RU"/>
    </w:rPr>
  </w:style>
  <w:style w:type="character" w:styleId="Heading2Char" w:customStyle="1">
    <w:name w:val="Heading 2 Char"/>
    <w:basedOn w:val="DefaultParagraphFont"/>
    <w:link w:val="Heading2"/>
    <w:uiPriority w:val="99"/>
    <w:qFormat/>
    <w:locked/>
    <w:rsid w:val="00de4d00"/>
    <w:rPr>
      <w:rFonts w:ascii="Cambria" w:hAnsi="Cambria" w:cs="Times New Roman"/>
      <w:b/>
      <w:color w:val="4F81BD"/>
      <w:sz w:val="26"/>
      <w:szCs w:val="26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qFormat/>
    <w:locked/>
    <w:rsid w:val="00e22e54"/>
    <w:rPr>
      <w:rFonts w:ascii="Courier New" w:hAnsi="Courier New" w:cs="Courier New"/>
      <w:lang w:eastAsia="ru-RU"/>
    </w:rPr>
  </w:style>
  <w:style w:type="character" w:styleId="Style12">
    <w:name w:val="Интернет-ссылка"/>
    <w:basedOn w:val="DefaultParagraphFont"/>
    <w:uiPriority w:val="99"/>
    <w:rsid w:val="00e22e54"/>
    <w:rPr>
      <w:rFonts w:cs="Times New Roman"/>
      <w:color w:val="0000FF"/>
      <w:u w:val="single"/>
    </w:rPr>
  </w:style>
  <w:style w:type="character" w:styleId="BodyTextIndentChar" w:customStyle="1">
    <w:name w:val="Body Text Indent Char"/>
    <w:basedOn w:val="DefaultParagraphFont"/>
    <w:link w:val="BodyTextIndent"/>
    <w:uiPriority w:val="99"/>
    <w:qFormat/>
    <w:locked/>
    <w:rsid w:val="00617abe"/>
    <w:rPr>
      <w:rFonts w:eastAsia="Times New Roman" w:cs="Times New Roman"/>
      <w:sz w:val="24"/>
      <w:szCs w:val="24"/>
      <w:lang w:eastAsia="ru-RU"/>
    </w:rPr>
  </w:style>
  <w:style w:type="character" w:styleId="Blk" w:customStyle="1">
    <w:name w:val="blk"/>
    <w:basedOn w:val="DefaultParagraphFont"/>
    <w:uiPriority w:val="99"/>
    <w:qFormat/>
    <w:rsid w:val="000a3c12"/>
    <w:rPr>
      <w:rFonts w:cs="Times New Roman"/>
    </w:rPr>
  </w:style>
  <w:style w:type="character" w:styleId="ListParagraphChar" w:customStyle="1">
    <w:name w:val="List Paragraph Char"/>
    <w:link w:val="ListParagraph"/>
    <w:uiPriority w:val="99"/>
    <w:qFormat/>
    <w:locked/>
    <w:rsid w:val="0026525c"/>
    <w:rPr>
      <w:rFonts w:eastAsia="Times New Roman"/>
      <w:sz w:val="22"/>
      <w:lang w:val="en-US"/>
    </w:rPr>
  </w:style>
  <w:style w:type="character" w:styleId="Doc" w:customStyle="1">
    <w:name w:val="Doc-Т внутри нумерации Знак"/>
    <w:link w:val="Doc-0"/>
    <w:uiPriority w:val="99"/>
    <w:qFormat/>
    <w:locked/>
    <w:rsid w:val="00af4a43"/>
    <w:rPr/>
  </w:style>
  <w:style w:type="character" w:styleId="Style13" w:customStyle="1">
    <w:name w:val="Основной текст_"/>
    <w:basedOn w:val="DefaultParagraphFont"/>
    <w:link w:val="1"/>
    <w:uiPriority w:val="99"/>
    <w:qFormat/>
    <w:locked/>
    <w:rsid w:val="00212a8e"/>
    <w:rPr>
      <w:rFonts w:cs="Times New Roman"/>
      <w:sz w:val="28"/>
      <w:szCs w:val="28"/>
      <w:shd w:fill="FFFFFF" w:val="clear"/>
    </w:rPr>
  </w:style>
  <w:style w:type="character" w:styleId="BodyTextIndent3Char" w:customStyle="1">
    <w:name w:val="Body Text Indent 3 Char"/>
    <w:basedOn w:val="DefaultParagraphFont"/>
    <w:link w:val="BodyTextIndent3"/>
    <w:uiPriority w:val="99"/>
    <w:qFormat/>
    <w:locked/>
    <w:rsid w:val="004b2ddb"/>
    <w:rPr>
      <w:rFonts w:eastAsia="Times New Roman" w:cs="Times New Roman"/>
      <w:sz w:val="16"/>
      <w:szCs w:val="16"/>
      <w:lang w:eastAsia="ru-RU"/>
    </w:rPr>
  </w:style>
  <w:style w:type="character" w:styleId="HeaderChar" w:customStyle="1">
    <w:name w:val="Header Char"/>
    <w:basedOn w:val="DefaultParagraphFont"/>
    <w:link w:val="Header"/>
    <w:uiPriority w:val="99"/>
    <w:semiHidden/>
    <w:qFormat/>
    <w:locked/>
    <w:rPr>
      <w:rFonts w:cs="Times New Roman"/>
      <w:sz w:val="20"/>
      <w:szCs w:val="20"/>
      <w:lang w:eastAsia="en-US"/>
    </w:rPr>
  </w:style>
  <w:style w:type="character" w:styleId="Pagenumber">
    <w:name w:val="page number"/>
    <w:basedOn w:val="DefaultParagraphFont"/>
    <w:uiPriority w:val="99"/>
    <w:qFormat/>
    <w:rsid w:val="00985b0e"/>
    <w:rPr>
      <w:rFonts w:cs="Times New Roman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locked/>
    <w:rPr>
      <w:rFonts w:cs="Times New Roman"/>
      <w:sz w:val="2"/>
      <w:lang w:eastAsia="en-US"/>
    </w:rPr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d806d9"/>
    <w:rPr>
      <w:sz w:val="20"/>
      <w:szCs w:val="20"/>
      <w:lang w:eastAsia="en-US"/>
    </w:rPr>
  </w:style>
  <w:style w:type="character" w:styleId="ListLabel1">
    <w:name w:val="ListLabel 1"/>
    <w:qFormat/>
    <w:rPr>
      <w:rFonts w:cs="Times New Roman"/>
      <w:b w:val="false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  <w:b w:val="false"/>
      <w:sz w:val="24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character" w:styleId="ListLabel28">
    <w:name w:val="ListLabel 28"/>
    <w:qFormat/>
    <w:rPr>
      <w:rFonts w:cs="Times New Roman"/>
      <w:b w:val="false"/>
    </w:rPr>
  </w:style>
  <w:style w:type="character" w:styleId="ListLabel29">
    <w:name w:val="ListLabel 29"/>
    <w:qFormat/>
    <w:rPr>
      <w:rFonts w:cs="Times New Roman"/>
    </w:rPr>
  </w:style>
  <w:style w:type="character" w:styleId="ListLabel30">
    <w:name w:val="ListLabel 30"/>
    <w:qFormat/>
    <w:rPr>
      <w:rFonts w:cs="Times New Roman"/>
    </w:rPr>
  </w:style>
  <w:style w:type="character" w:styleId="ListLabel31">
    <w:name w:val="ListLabel 31"/>
    <w:qFormat/>
    <w:rPr>
      <w:rFonts w:cs="Times New Roman"/>
    </w:rPr>
  </w:style>
  <w:style w:type="character" w:styleId="ListLabel32">
    <w:name w:val="ListLabel 32"/>
    <w:qFormat/>
    <w:rPr>
      <w:rFonts w:cs="Times New Roman"/>
    </w:rPr>
  </w:style>
  <w:style w:type="character" w:styleId="ListLabel33">
    <w:name w:val="ListLabel 33"/>
    <w:qFormat/>
    <w:rPr>
      <w:rFonts w:cs="Times New Roman"/>
    </w:rPr>
  </w:style>
  <w:style w:type="character" w:styleId="ListLabel34">
    <w:name w:val="ListLabel 34"/>
    <w:qFormat/>
    <w:rPr>
      <w:rFonts w:cs="Times New Roman"/>
    </w:rPr>
  </w:style>
  <w:style w:type="character" w:styleId="ListLabel35">
    <w:name w:val="ListLabel 35"/>
    <w:qFormat/>
    <w:rPr>
      <w:rFonts w:cs="Times New Roman"/>
    </w:rPr>
  </w:style>
  <w:style w:type="character" w:styleId="ListLabel36">
    <w:name w:val="ListLabel 36"/>
    <w:qFormat/>
    <w:rPr>
      <w:rFonts w:cs="Times New Roman"/>
    </w:rPr>
  </w:style>
  <w:style w:type="character" w:styleId="ListLabel37">
    <w:name w:val="ListLabel 37"/>
    <w:qFormat/>
    <w:rPr>
      <w:rFonts w:cs="Times New Roman"/>
    </w:rPr>
  </w:style>
  <w:style w:type="character" w:styleId="ListLabel38">
    <w:name w:val="ListLabel 38"/>
    <w:qFormat/>
    <w:rPr>
      <w:rFonts w:cs="Times New Roman"/>
    </w:rPr>
  </w:style>
  <w:style w:type="character" w:styleId="ListLabel39">
    <w:name w:val="ListLabel 39"/>
    <w:qFormat/>
    <w:rPr>
      <w:rFonts w:cs="Times New Roman"/>
    </w:rPr>
  </w:style>
  <w:style w:type="character" w:styleId="ListLabel40">
    <w:name w:val="ListLabel 40"/>
    <w:qFormat/>
    <w:rPr>
      <w:rFonts w:cs="Times New Roman"/>
    </w:rPr>
  </w:style>
  <w:style w:type="character" w:styleId="ListLabel41">
    <w:name w:val="ListLabel 41"/>
    <w:qFormat/>
    <w:rPr>
      <w:rFonts w:cs="Times New Roman"/>
    </w:rPr>
  </w:style>
  <w:style w:type="character" w:styleId="ListLabel42">
    <w:name w:val="ListLabel 42"/>
    <w:qFormat/>
    <w:rPr>
      <w:rFonts w:cs="Times New Roman"/>
    </w:rPr>
  </w:style>
  <w:style w:type="character" w:styleId="ListLabel43">
    <w:name w:val="ListLabel 43"/>
    <w:qFormat/>
    <w:rPr>
      <w:rFonts w:cs="Times New Roman"/>
    </w:rPr>
  </w:style>
  <w:style w:type="character" w:styleId="ListLabel44">
    <w:name w:val="ListLabel 44"/>
    <w:qFormat/>
    <w:rPr>
      <w:rFonts w:cs="Times New Roman"/>
    </w:rPr>
  </w:style>
  <w:style w:type="character" w:styleId="ListLabel45">
    <w:name w:val="ListLabel 45"/>
    <w:qFormat/>
    <w:rPr>
      <w:rFonts w:cs="Times New Roman"/>
    </w:rPr>
  </w:style>
  <w:style w:type="character" w:styleId="ListLabel46">
    <w:name w:val="ListLabel 46"/>
    <w:qFormat/>
    <w:rPr>
      <w:rFonts w:cs="Times New Roman"/>
      <w:b w:val="false"/>
      <w:sz w:val="24"/>
    </w:rPr>
  </w:style>
  <w:style w:type="character" w:styleId="ListLabel47">
    <w:name w:val="ListLabel 47"/>
    <w:qFormat/>
    <w:rPr>
      <w:rFonts w:cs="Times New Roman"/>
    </w:rPr>
  </w:style>
  <w:style w:type="character" w:styleId="ListLabel48">
    <w:name w:val="ListLabel 48"/>
    <w:qFormat/>
    <w:rPr>
      <w:rFonts w:cs="Times New Roman"/>
    </w:rPr>
  </w:style>
  <w:style w:type="character" w:styleId="ListLabel49">
    <w:name w:val="ListLabel 49"/>
    <w:qFormat/>
    <w:rPr>
      <w:rFonts w:cs="Times New Roman"/>
    </w:rPr>
  </w:style>
  <w:style w:type="character" w:styleId="ListLabel50">
    <w:name w:val="ListLabel 50"/>
    <w:qFormat/>
    <w:rPr>
      <w:rFonts w:cs="Times New Roman"/>
    </w:rPr>
  </w:style>
  <w:style w:type="character" w:styleId="ListLabel51">
    <w:name w:val="ListLabel 51"/>
    <w:qFormat/>
    <w:rPr>
      <w:rFonts w:cs="Times New Roman"/>
    </w:rPr>
  </w:style>
  <w:style w:type="character" w:styleId="ListLabel52">
    <w:name w:val="ListLabel 52"/>
    <w:qFormat/>
    <w:rPr>
      <w:rFonts w:cs="Times New Roman"/>
    </w:rPr>
  </w:style>
  <w:style w:type="character" w:styleId="ListLabel53">
    <w:name w:val="ListLabel 53"/>
    <w:qFormat/>
    <w:rPr>
      <w:rFonts w:cs="Times New Roman"/>
    </w:rPr>
  </w:style>
  <w:style w:type="character" w:styleId="ListLabel54">
    <w:name w:val="ListLabel 54"/>
    <w:qFormat/>
    <w:rPr>
      <w:rFonts w:cs="Times New Roman"/>
    </w:rPr>
  </w:style>
  <w:style w:type="character" w:styleId="ListLabel55">
    <w:name w:val="ListLabel 55"/>
    <w:qFormat/>
    <w:rPr>
      <w:rFonts w:cs="Times New Roman"/>
    </w:rPr>
  </w:style>
  <w:style w:type="character" w:styleId="ListLabel56">
    <w:name w:val="ListLabel 56"/>
    <w:qFormat/>
    <w:rPr>
      <w:rFonts w:cs="Times New Roman"/>
    </w:rPr>
  </w:style>
  <w:style w:type="character" w:styleId="ListLabel57">
    <w:name w:val="ListLabel 57"/>
    <w:qFormat/>
    <w:rPr>
      <w:rFonts w:cs="Times New Roman"/>
    </w:rPr>
  </w:style>
  <w:style w:type="character" w:styleId="ListLabel58">
    <w:name w:val="ListLabel 58"/>
    <w:qFormat/>
    <w:rPr>
      <w:rFonts w:cs="Times New Roman"/>
    </w:rPr>
  </w:style>
  <w:style w:type="character" w:styleId="ListLabel59">
    <w:name w:val="ListLabel 59"/>
    <w:qFormat/>
    <w:rPr>
      <w:rFonts w:cs="Times New Roman"/>
    </w:rPr>
  </w:style>
  <w:style w:type="character" w:styleId="ListLabel60">
    <w:name w:val="ListLabel 60"/>
    <w:qFormat/>
    <w:rPr>
      <w:rFonts w:cs="Times New Roman"/>
    </w:rPr>
  </w:style>
  <w:style w:type="character" w:styleId="ListLabel61">
    <w:name w:val="ListLabel 61"/>
    <w:qFormat/>
    <w:rPr>
      <w:rFonts w:cs="Times New Roman"/>
    </w:rPr>
  </w:style>
  <w:style w:type="character" w:styleId="ListLabel62">
    <w:name w:val="ListLabel 62"/>
    <w:qFormat/>
    <w:rPr>
      <w:rFonts w:cs="Times New Roman"/>
    </w:rPr>
  </w:style>
  <w:style w:type="character" w:styleId="ListLabel63">
    <w:name w:val="ListLabel 63"/>
    <w:qFormat/>
    <w:rPr>
      <w:rFonts w:cs="Times New Roman"/>
    </w:rPr>
  </w:style>
  <w:style w:type="character" w:styleId="ListLabel64">
    <w:name w:val="ListLabel 64"/>
    <w:qFormat/>
    <w:rPr>
      <w:rFonts w:cs="Times New Roman"/>
    </w:rPr>
  </w:style>
  <w:style w:type="character" w:styleId="ListLabel65">
    <w:name w:val="ListLabel 65"/>
    <w:qFormat/>
    <w:rPr>
      <w:rFonts w:cs="Times New Roman"/>
    </w:rPr>
  </w:style>
  <w:style w:type="character" w:styleId="ListLabel66">
    <w:name w:val="ListLabel 66"/>
    <w:qFormat/>
    <w:rPr>
      <w:rFonts w:cs="Times New Roman"/>
    </w:rPr>
  </w:style>
  <w:style w:type="character" w:styleId="ListLabel67">
    <w:name w:val="ListLabel 67"/>
    <w:qFormat/>
    <w:rPr>
      <w:rFonts w:cs="Times New Roman"/>
    </w:rPr>
  </w:style>
  <w:style w:type="character" w:styleId="ListLabel68">
    <w:name w:val="ListLabel 68"/>
    <w:qFormat/>
    <w:rPr>
      <w:rFonts w:cs="Times New Roman"/>
    </w:rPr>
  </w:style>
  <w:style w:type="character" w:styleId="ListLabel69">
    <w:name w:val="ListLabel 69"/>
    <w:qFormat/>
    <w:rPr>
      <w:rFonts w:cs="Times New Roman"/>
    </w:rPr>
  </w:style>
  <w:style w:type="character" w:styleId="ListLabel70">
    <w:name w:val="ListLabel 70"/>
    <w:qFormat/>
    <w:rPr>
      <w:rFonts w:cs="Times New Roman"/>
    </w:rPr>
  </w:style>
  <w:style w:type="character" w:styleId="ListLabel71">
    <w:name w:val="ListLabel 71"/>
    <w:qFormat/>
    <w:rPr>
      <w:rFonts w:cs="Times New Roman"/>
    </w:rPr>
  </w:style>
  <w:style w:type="character" w:styleId="ListLabel72">
    <w:name w:val="ListLabel 72"/>
    <w:qFormat/>
    <w:rPr>
      <w:rFonts w:cs="Times New Roman"/>
    </w:rPr>
  </w:style>
  <w:style w:type="character" w:styleId="ListLabel73">
    <w:name w:val="ListLabel 73"/>
    <w:qFormat/>
    <w:rPr>
      <w:rFonts w:cs="Times New Roman"/>
    </w:rPr>
  </w:style>
  <w:style w:type="character" w:styleId="ListLabel74">
    <w:name w:val="ListLabel 74"/>
    <w:qFormat/>
    <w:rPr>
      <w:rFonts w:cs="Times New Roman"/>
    </w:rPr>
  </w:style>
  <w:style w:type="character" w:styleId="ListLabel75">
    <w:name w:val="ListLabel 75"/>
    <w:qFormat/>
    <w:rPr>
      <w:rFonts w:cs="Times New Roman"/>
    </w:rPr>
  </w:style>
  <w:style w:type="character" w:styleId="ListLabel76">
    <w:name w:val="ListLabel 76"/>
    <w:qFormat/>
    <w:rPr>
      <w:rFonts w:cs="Times New Roman"/>
    </w:rPr>
  </w:style>
  <w:style w:type="character" w:styleId="ListLabel77">
    <w:name w:val="ListLabel 77"/>
    <w:qFormat/>
    <w:rPr>
      <w:rFonts w:cs="Times New Roman"/>
    </w:rPr>
  </w:style>
  <w:style w:type="character" w:styleId="ListLabel78">
    <w:name w:val="ListLabel 78"/>
    <w:qFormat/>
    <w:rPr>
      <w:rFonts w:cs="Times New Roman"/>
    </w:rPr>
  </w:style>
  <w:style w:type="character" w:styleId="ListLabel79">
    <w:name w:val="ListLabel 79"/>
    <w:qFormat/>
    <w:rPr>
      <w:rFonts w:cs="Times New Roman"/>
    </w:rPr>
  </w:style>
  <w:style w:type="character" w:styleId="ListLabel80">
    <w:name w:val="ListLabel 80"/>
    <w:qFormat/>
    <w:rPr>
      <w:rFonts w:cs="Times New Roman"/>
    </w:rPr>
  </w:style>
  <w:style w:type="character" w:styleId="ListLabel81">
    <w:name w:val="ListLabel 81"/>
    <w:qFormat/>
    <w:rPr>
      <w:rFonts w:cs="Times New Roman"/>
    </w:rPr>
  </w:style>
  <w:style w:type="character" w:styleId="ListLabel82">
    <w:name w:val="ListLabel 82"/>
    <w:qFormat/>
    <w:rPr>
      <w:rFonts w:eastAsia="Times New Roman"/>
      <w:b w:val="false"/>
      <w:i w:val="false"/>
      <w:caps w:val="false"/>
      <w:smallCaps w:val="false"/>
      <w:strike w:val="false"/>
      <w:dstrike w:val="false"/>
      <w:color w:val="000000"/>
      <w:spacing w:val="0"/>
      <w:w w:val="100"/>
      <w:sz w:val="28"/>
      <w:u w:val="none"/>
    </w:rPr>
  </w:style>
  <w:style w:type="character" w:styleId="ListLabel83">
    <w:name w:val="ListLabel 83"/>
    <w:qFormat/>
    <w:rPr>
      <w:rFonts w:cs="Times New Roman"/>
    </w:rPr>
  </w:style>
  <w:style w:type="character" w:styleId="ListLabel84">
    <w:name w:val="ListLabel 84"/>
    <w:qFormat/>
    <w:rPr>
      <w:rFonts w:cs="Times New Roman"/>
    </w:rPr>
  </w:style>
  <w:style w:type="character" w:styleId="ListLabel85">
    <w:name w:val="ListLabel 85"/>
    <w:qFormat/>
    <w:rPr>
      <w:rFonts w:cs="Times New Roman"/>
    </w:rPr>
  </w:style>
  <w:style w:type="character" w:styleId="ListLabel86">
    <w:name w:val="ListLabel 86"/>
    <w:qFormat/>
    <w:rPr>
      <w:rFonts w:cs="Times New Roman"/>
    </w:rPr>
  </w:style>
  <w:style w:type="character" w:styleId="ListLabel87">
    <w:name w:val="ListLabel 87"/>
    <w:qFormat/>
    <w:rPr>
      <w:rFonts w:cs="Times New Roman"/>
    </w:rPr>
  </w:style>
  <w:style w:type="character" w:styleId="ListLabel88">
    <w:name w:val="ListLabel 88"/>
    <w:qFormat/>
    <w:rPr>
      <w:rFonts w:cs="Times New Roman"/>
    </w:rPr>
  </w:style>
  <w:style w:type="character" w:styleId="ListLabel89">
    <w:name w:val="ListLabel 89"/>
    <w:qFormat/>
    <w:rPr>
      <w:rFonts w:cs="Times New Roman"/>
    </w:rPr>
  </w:style>
  <w:style w:type="character" w:styleId="ListLabel90">
    <w:name w:val="ListLabel 90"/>
    <w:qFormat/>
    <w:rPr>
      <w:rFonts w:cs="Times New Roman"/>
    </w:rPr>
  </w:style>
  <w:style w:type="character" w:styleId="ListLabel91">
    <w:name w:val="ListLabel 91"/>
    <w:qFormat/>
    <w:rPr>
      <w:rFonts w:cs="Times New Roman"/>
      <w:b/>
      <w:sz w:val="28"/>
    </w:rPr>
  </w:style>
  <w:style w:type="character" w:styleId="ListLabel92">
    <w:name w:val="ListLabel 92"/>
    <w:qFormat/>
    <w:rPr>
      <w:rFonts w:cs="Times New Roman"/>
    </w:rPr>
  </w:style>
  <w:style w:type="character" w:styleId="ListLabel93">
    <w:name w:val="ListLabel 93"/>
    <w:qFormat/>
    <w:rPr>
      <w:rFonts w:cs="Times New Roman"/>
    </w:rPr>
  </w:style>
  <w:style w:type="character" w:styleId="ListLabel94">
    <w:name w:val="ListLabel 94"/>
    <w:qFormat/>
    <w:rPr>
      <w:rFonts w:cs="Times New Roman"/>
    </w:rPr>
  </w:style>
  <w:style w:type="character" w:styleId="ListLabel95">
    <w:name w:val="ListLabel 95"/>
    <w:qFormat/>
    <w:rPr>
      <w:rFonts w:cs="Times New Roman"/>
    </w:rPr>
  </w:style>
  <w:style w:type="character" w:styleId="ListLabel96">
    <w:name w:val="ListLabel 96"/>
    <w:qFormat/>
    <w:rPr>
      <w:rFonts w:cs="Times New Roman"/>
    </w:rPr>
  </w:style>
  <w:style w:type="character" w:styleId="ListLabel97">
    <w:name w:val="ListLabel 97"/>
    <w:qFormat/>
    <w:rPr>
      <w:rFonts w:cs="Times New Roman"/>
    </w:rPr>
  </w:style>
  <w:style w:type="character" w:styleId="ListLabel98">
    <w:name w:val="ListLabel 98"/>
    <w:qFormat/>
    <w:rPr>
      <w:rFonts w:cs="Times New Roman"/>
    </w:rPr>
  </w:style>
  <w:style w:type="character" w:styleId="ListLabel99">
    <w:name w:val="ListLabel 99"/>
    <w:qFormat/>
    <w:rPr>
      <w:rFonts w:cs="Times New Roman"/>
    </w:rPr>
  </w:style>
  <w:style w:type="character" w:styleId="ListLabel100">
    <w:name w:val="ListLabel 100"/>
    <w:qFormat/>
    <w:rPr>
      <w:szCs w:val="28"/>
    </w:rPr>
  </w:style>
  <w:style w:type="character" w:styleId="ListLabel101">
    <w:name w:val="ListLabel 101"/>
    <w:qFormat/>
    <w:rPr>
      <w:color w:val="auto"/>
      <w:sz w:val="28"/>
      <w:szCs w:val="28"/>
      <w:u w:val="none"/>
    </w:rPr>
  </w:style>
  <w:style w:type="character" w:styleId="ListLabel102">
    <w:name w:val="ListLabel 102"/>
    <w:qFormat/>
    <w:rPr>
      <w:sz w:val="28"/>
      <w:szCs w:val="28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</w:rPr>
  </w:style>
  <w:style w:type="paragraph" w:styleId="HTMLPreformatted">
    <w:name w:val="HTML Preformatted"/>
    <w:basedOn w:val="Normal"/>
    <w:link w:val="HTMLPreformattedChar"/>
    <w:uiPriority w:val="99"/>
    <w:semiHidden/>
    <w:qFormat/>
    <w:rsid w:val="00e22e54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lang w:eastAsia="ru-RU"/>
    </w:rPr>
  </w:style>
  <w:style w:type="paragraph" w:styleId="Pc" w:customStyle="1">
    <w:name w:val="pc"/>
    <w:basedOn w:val="Normal"/>
    <w:uiPriority w:val="99"/>
    <w:qFormat/>
    <w:rsid w:val="00e22e54"/>
    <w:pPr>
      <w:spacing w:lineRule="auto" w:line="240" w:beforeAutospacing="1" w:afterAutospacing="1"/>
    </w:pPr>
    <w:rPr>
      <w:rFonts w:eastAsia="Times New Roman"/>
      <w:sz w:val="24"/>
      <w:szCs w:val="24"/>
      <w:lang w:eastAsia="ru-RU"/>
    </w:rPr>
  </w:style>
  <w:style w:type="paragraph" w:styleId="Pj" w:customStyle="1">
    <w:name w:val="pj"/>
    <w:basedOn w:val="Normal"/>
    <w:uiPriority w:val="99"/>
    <w:qFormat/>
    <w:rsid w:val="00e22e54"/>
    <w:pPr>
      <w:spacing w:lineRule="auto" w:line="240" w:beforeAutospacing="1" w:afterAutospacing="1"/>
    </w:pPr>
    <w:rPr>
      <w:rFonts w:eastAsia="Times New Roman"/>
      <w:sz w:val="24"/>
      <w:szCs w:val="24"/>
      <w:lang w:eastAsia="ru-RU"/>
    </w:rPr>
  </w:style>
  <w:style w:type="paragraph" w:styleId="Style19">
    <w:name w:val="Body Text Indent"/>
    <w:basedOn w:val="Normal"/>
    <w:link w:val="BodyTextIndentChar"/>
    <w:uiPriority w:val="99"/>
    <w:rsid w:val="00617abe"/>
    <w:pPr>
      <w:spacing w:lineRule="auto" w:line="240" w:before="0" w:after="0"/>
      <w:ind w:left="4860" w:hanging="0"/>
    </w:pPr>
    <w:rPr>
      <w:rFonts w:eastAsia="Times New Roman"/>
      <w:sz w:val="28"/>
      <w:szCs w:val="24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26525c"/>
    <w:pPr>
      <w:spacing w:lineRule="auto" w:line="240" w:before="0" w:after="0"/>
      <w:ind w:left="720" w:hanging="0"/>
      <w:contextualSpacing/>
      <w:jc w:val="both"/>
    </w:pPr>
    <w:rPr>
      <w:rFonts w:eastAsia="Times New Roman"/>
      <w:sz w:val="22"/>
      <w:lang w:val="en-US" w:eastAsia="ru-RU"/>
    </w:rPr>
  </w:style>
  <w:style w:type="paragraph" w:styleId="Doc1" w:customStyle="1">
    <w:name w:val="Doc-Т внутри нумерации"/>
    <w:basedOn w:val="Normal"/>
    <w:link w:val="Doc-"/>
    <w:uiPriority w:val="99"/>
    <w:qFormat/>
    <w:rsid w:val="00af4a43"/>
    <w:pPr>
      <w:spacing w:lineRule="auto" w:line="360" w:before="0" w:after="0"/>
      <w:ind w:left="720" w:firstLine="709"/>
      <w:jc w:val="both"/>
    </w:pPr>
    <w:rPr/>
  </w:style>
  <w:style w:type="paragraph" w:styleId="ConsPlusCell" w:customStyle="1">
    <w:name w:val="ConsPlusCell"/>
    <w:uiPriority w:val="99"/>
    <w:qFormat/>
    <w:rsid w:val="00c3189a"/>
    <w:pPr>
      <w:widowControl/>
      <w:bidi w:val="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2"/>
      <w:lang w:val="ru-RU" w:eastAsia="ru-RU" w:bidi="ar-SA"/>
    </w:rPr>
  </w:style>
  <w:style w:type="paragraph" w:styleId="11" w:customStyle="1">
    <w:name w:val="Основной текст1"/>
    <w:basedOn w:val="Normal"/>
    <w:link w:val="a"/>
    <w:uiPriority w:val="99"/>
    <w:qFormat/>
    <w:rsid w:val="00212a8e"/>
    <w:pPr>
      <w:widowControl w:val="false"/>
      <w:shd w:val="clear" w:color="auto" w:fill="FFFFFF"/>
      <w:spacing w:lineRule="exact" w:line="320" w:before="360" w:after="0"/>
      <w:jc w:val="both"/>
    </w:pPr>
    <w:rPr>
      <w:sz w:val="28"/>
      <w:szCs w:val="28"/>
    </w:rPr>
  </w:style>
  <w:style w:type="paragraph" w:styleId="Default" w:customStyle="1">
    <w:name w:val="Default"/>
    <w:uiPriority w:val="99"/>
    <w:qFormat/>
    <w:rsid w:val="00212a8e"/>
    <w:pPr>
      <w:widowControl/>
      <w:bidi w:val="0"/>
      <w:jc w:val="left"/>
    </w:pPr>
    <w:rPr>
      <w:rFonts w:eastAsia="Times New Roman" w:ascii="Times New Roman" w:hAnsi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uiPriority w:val="99"/>
    <w:qFormat/>
    <w:rsid w:val="005f4225"/>
    <w:pPr>
      <w:widowControl w:val="false"/>
      <w:bidi w:val="0"/>
      <w:jc w:val="left"/>
    </w:pPr>
    <w:rPr>
      <w:rFonts w:eastAsia="Times New Roman" w:ascii="Times New Roman" w:hAnsi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BodyTextIndent3">
    <w:name w:val="Body Text Indent 3"/>
    <w:basedOn w:val="Normal"/>
    <w:link w:val="BodyTextIndent3Char"/>
    <w:uiPriority w:val="99"/>
    <w:qFormat/>
    <w:rsid w:val="004b2ddb"/>
    <w:pPr>
      <w:spacing w:lineRule="auto" w:line="240" w:before="0" w:after="120"/>
      <w:ind w:left="283" w:hanging="0"/>
    </w:pPr>
    <w:rPr>
      <w:rFonts w:eastAsia="Times New Roman"/>
      <w:sz w:val="16"/>
      <w:szCs w:val="16"/>
      <w:lang w:eastAsia="ru-RU"/>
    </w:rPr>
  </w:style>
  <w:style w:type="paragraph" w:styleId="Style20">
    <w:name w:val="Header"/>
    <w:basedOn w:val="Normal"/>
    <w:link w:val="HeaderChar"/>
    <w:uiPriority w:val="99"/>
    <w:rsid w:val="00985b0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BalloonTextChar"/>
    <w:uiPriority w:val="99"/>
    <w:semiHidden/>
    <w:qFormat/>
    <w:rsid w:val="002242c4"/>
    <w:pPr/>
    <w:rPr>
      <w:rFonts w:ascii="Tahoma" w:hAnsi="Tahoma" w:cs="Tahoma"/>
      <w:sz w:val="16"/>
      <w:szCs w:val="16"/>
    </w:rPr>
  </w:style>
  <w:style w:type="paragraph" w:styleId="Style21">
    <w:name w:val="Footer"/>
    <w:basedOn w:val="Normal"/>
    <w:link w:val="FooterChar"/>
    <w:uiPriority w:val="99"/>
    <w:rsid w:val="004d103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A0A1F72B8E602EAE0244443EE0CCF28EA219139EC8032AE90C9AD0D4FD2A62C99B2C382CDBB50D1059t4J" TargetMode="External"/><Relationship Id="rId3" Type="http://schemas.openxmlformats.org/officeDocument/2006/relationships/hyperlink" Target="consultantplus://offline/ref=A0A1F72B8E602EAE0244443EE0CCF28EA213159ECA567DEB5DCFDE5Dt1J" TargetMode="External"/><Relationship Id="rId4" Type="http://schemas.openxmlformats.org/officeDocument/2006/relationships/hyperlink" Target="consultantplus://offline/ref=A0A1F72B8E602EAE0244443EE0CCF28EA219139EC8032AE90C9AD0D4FD52tAJ" TargetMode="External"/><Relationship Id="rId5" Type="http://schemas.openxmlformats.org/officeDocument/2006/relationships/hyperlink" Target="consultantplus://offline/ref=A0A1F72B8E602EAE0244443EE0CCF28EA812179BC80B77E304C3DCD6FA253DDE9C65342DDBB50F51tBJ" TargetMode="External"/><Relationship Id="rId6" Type="http://schemas.openxmlformats.org/officeDocument/2006/relationships/hyperlink" Target="https://gkrfkod.ru/zakonodatelstvo/Federalnyy-zakon-ot-27.07.2004-N-79-FZ/" TargetMode="External"/><Relationship Id="rId7" Type="http://schemas.openxmlformats.org/officeDocument/2006/relationships/hyperlink" Target="https://gkrfkod.ru/zakonodatelstvo/Federalnyy-zakon-ot-27.07.2004-N-79-FZ/" TargetMode="External"/><Relationship Id="rId8" Type="http://schemas.openxmlformats.org/officeDocument/2006/relationships/hyperlink" Target="https://gkrfkod.ru/zakonodatelstvo/Federalnyy-zakon-ot-27.07.2004-N-79-FZ/" TargetMode="External"/><Relationship Id="rId9" Type="http://schemas.openxmlformats.org/officeDocument/2006/relationships/hyperlink" Target="https://gkrfkod.ru/zakonodatelstvo/Federalnyy-zakon-ot-27.07.2004-N-79-FZ/" TargetMode="External"/><Relationship Id="rId10" Type="http://schemas.openxmlformats.org/officeDocument/2006/relationships/hyperlink" Target="https://gkrfkod.ru/zakonodatelstvo/Federalnyy-zakon-ot-27.07.2004-N-79-FZ/" TargetMode="External"/><Relationship Id="rId11" Type="http://schemas.openxmlformats.org/officeDocument/2006/relationships/hyperlink" Target="https://gkrfkod.ru/zakonodatelstvo/Federalnyy-zakon-ot-15.12.2001-N-166-FZ/" TargetMode="External"/><Relationship Id="rId12" Type="http://schemas.openxmlformats.org/officeDocument/2006/relationships/header" Target="header1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Application>LibreOffice/6.2.6.2$Linux_X86_64 LibreOffice_project/20$Build-2</Application>
  <Pages>6</Pages>
  <Words>1594</Words>
  <Characters>12696</Characters>
  <CharactersWithSpaces>14173</CharactersWithSpaces>
  <Paragraphs>95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2019-02-22T11:48:00Z</dcterms:created>
  <dc:creator>USER</dc:creator>
  <dc:description/>
  <dc:language>ru-RU</dc:language>
  <cp:lastModifiedBy/>
  <cp:lastPrinted>2018-08-22T13:40:00Z</cp:lastPrinted>
  <dcterms:modified xsi:type="dcterms:W3CDTF">2020-07-14T13:43:55Z</dcterms:modified>
  <cp:revision>3</cp:revision>
  <dc:subject/>
  <dc:title>УТВЕРЖДАЮ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