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ACA" w:rsidRDefault="00E45AC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45ACA" w:rsidRDefault="00E45ACA">
      <w:pPr>
        <w:pStyle w:val="ConsPlusNormal"/>
        <w:jc w:val="both"/>
        <w:outlineLvl w:val="0"/>
      </w:pPr>
    </w:p>
    <w:p w:rsidR="00E45ACA" w:rsidRDefault="00E45ACA">
      <w:pPr>
        <w:pStyle w:val="ConsPlusTitle"/>
        <w:jc w:val="center"/>
        <w:outlineLvl w:val="0"/>
      </w:pPr>
      <w:r>
        <w:t>ЕВРАЗИЙСКОЕ ЭКОНОМИЧЕСКОЕ СООБЩЕСТВО</w:t>
      </w:r>
    </w:p>
    <w:p w:rsidR="00E45ACA" w:rsidRDefault="00E45ACA">
      <w:pPr>
        <w:pStyle w:val="ConsPlusTitle"/>
        <w:jc w:val="center"/>
      </w:pPr>
    </w:p>
    <w:p w:rsidR="00E45ACA" w:rsidRDefault="00E45ACA">
      <w:pPr>
        <w:pStyle w:val="ConsPlusTitle"/>
        <w:jc w:val="center"/>
      </w:pPr>
      <w:r>
        <w:t>КОМИССИЯ ТАМОЖЕННОГО СОЮЗА</w:t>
      </w:r>
    </w:p>
    <w:p w:rsidR="00E45ACA" w:rsidRDefault="00E45ACA">
      <w:pPr>
        <w:pStyle w:val="ConsPlusTitle"/>
        <w:jc w:val="center"/>
      </w:pPr>
    </w:p>
    <w:p w:rsidR="00E45ACA" w:rsidRDefault="00E45ACA">
      <w:pPr>
        <w:pStyle w:val="ConsPlusTitle"/>
        <w:jc w:val="center"/>
      </w:pPr>
      <w:r>
        <w:t>РЕШЕНИЕ</w:t>
      </w:r>
    </w:p>
    <w:p w:rsidR="00E45ACA" w:rsidRDefault="00E45ACA">
      <w:pPr>
        <w:pStyle w:val="ConsPlusTitle"/>
        <w:jc w:val="center"/>
      </w:pPr>
      <w:r>
        <w:t>от 9 декабря 2011 г. N 883</w:t>
      </w:r>
    </w:p>
    <w:p w:rsidR="00E45ACA" w:rsidRDefault="00E45ACA">
      <w:pPr>
        <w:pStyle w:val="ConsPlusTitle"/>
        <w:jc w:val="center"/>
      </w:pPr>
    </w:p>
    <w:p w:rsidR="00E45ACA" w:rsidRDefault="00E45ACA">
      <w:pPr>
        <w:pStyle w:val="ConsPlusTitle"/>
        <w:jc w:val="center"/>
      </w:pPr>
      <w:r>
        <w:t>О ПРИНЯТИИ ТЕХНИЧЕСКОГО РЕГЛАМЕНТА ТАМОЖЕННОГО СОЮЗА</w:t>
      </w:r>
    </w:p>
    <w:p w:rsidR="00E45ACA" w:rsidRDefault="00E45ACA">
      <w:pPr>
        <w:pStyle w:val="ConsPlusTitle"/>
        <w:jc w:val="center"/>
      </w:pPr>
      <w:r>
        <w:t>"ТЕХНИЧЕСКИЙ РЕГЛАМЕНТ НА МАСЛОЖИРОВУЮ ПРОДУКЦИЮ"</w:t>
      </w:r>
    </w:p>
    <w:p w:rsidR="00E45ACA" w:rsidRDefault="00E45AC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45AC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5ACA" w:rsidRDefault="00E45AC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5ACA" w:rsidRDefault="00E45AC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5ACA" w:rsidRDefault="00E45AC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5ACA" w:rsidRDefault="00E45AC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Евразийской экономической комиссии</w:t>
            </w:r>
          </w:p>
          <w:p w:rsidR="00E45ACA" w:rsidRDefault="00E45ACA">
            <w:pPr>
              <w:pStyle w:val="ConsPlusNormal"/>
              <w:jc w:val="center"/>
            </w:pPr>
            <w:r>
              <w:rPr>
                <w:color w:val="392C69"/>
              </w:rPr>
              <w:t>от 23.04.2015 N 39,</w:t>
            </w:r>
          </w:p>
          <w:p w:rsidR="00E45ACA" w:rsidRDefault="00E45ACA">
            <w:pPr>
              <w:pStyle w:val="ConsPlusNormal"/>
              <w:jc w:val="center"/>
            </w:pPr>
            <w:r>
              <w:rPr>
                <w:color w:val="392C69"/>
              </w:rPr>
              <w:t>решений Коллегии Евразийской экономической комиссии</w:t>
            </w:r>
          </w:p>
          <w:p w:rsidR="00E45ACA" w:rsidRDefault="00E45AC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10.05.2016 </w:t>
            </w:r>
            <w:hyperlink r:id="rId6">
              <w:r>
                <w:rPr>
                  <w:color w:val="0000FF"/>
                </w:rPr>
                <w:t>N 40</w:t>
              </w:r>
            </w:hyperlink>
            <w:r>
              <w:rPr>
                <w:color w:val="392C69"/>
              </w:rPr>
              <w:t xml:space="preserve">, от 29.03.2022 </w:t>
            </w:r>
            <w:hyperlink r:id="rId7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5ACA" w:rsidRDefault="00E45ACA">
            <w:pPr>
              <w:pStyle w:val="ConsPlusNormal"/>
            </w:pPr>
          </w:p>
        </w:tc>
      </w:tr>
    </w:tbl>
    <w:p w:rsidR="00E45ACA" w:rsidRDefault="00E45ACA">
      <w:pPr>
        <w:pStyle w:val="ConsPlusNormal"/>
        <w:jc w:val="center"/>
      </w:pPr>
    </w:p>
    <w:p w:rsidR="00E45ACA" w:rsidRDefault="00E45ACA">
      <w:pPr>
        <w:pStyle w:val="ConsPlusNormal"/>
        <w:ind w:firstLine="540"/>
        <w:jc w:val="both"/>
      </w:pPr>
      <w:r>
        <w:t xml:space="preserve">В соответствии со </w:t>
      </w:r>
      <w:hyperlink r:id="rId8">
        <w:r>
          <w:rPr>
            <w:color w:val="0000FF"/>
          </w:rPr>
          <w:t>статьей 13</w:t>
        </w:r>
      </w:hyperlink>
      <w:r>
        <w:t xml:space="preserve"> Соглашения о единых принципах и правилах технического регулирования в Республике Беларусь, Республике Казахстан и Российской Федерации от 18 ноября 2010 года Комиссия Таможенного союза (далее - Комиссия) решила: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 xml:space="preserve">1. Принять технический </w:t>
      </w:r>
      <w:hyperlink w:anchor="P51">
        <w:r>
          <w:rPr>
            <w:color w:val="0000FF"/>
          </w:rPr>
          <w:t>регламент</w:t>
        </w:r>
      </w:hyperlink>
      <w:r>
        <w:t xml:space="preserve"> Таможенного союза "Технический регламент на масложировую продукцию" (ТР ТС 024/2011) (прилагается).</w:t>
      </w:r>
    </w:p>
    <w:p w:rsidR="00E45ACA" w:rsidRDefault="00E45ACA">
      <w:pPr>
        <w:pStyle w:val="ConsPlusNormal"/>
        <w:spacing w:before="200"/>
        <w:ind w:firstLine="540"/>
        <w:jc w:val="both"/>
      </w:pPr>
      <w:bookmarkStart w:id="0" w:name="P18"/>
      <w:bookmarkEnd w:id="0"/>
      <w:r>
        <w:t xml:space="preserve">2. Утратил силу с 1 июля 2022 года. - </w:t>
      </w:r>
      <w:hyperlink r:id="rId9">
        <w:r>
          <w:rPr>
            <w:color w:val="0000FF"/>
          </w:rPr>
          <w:t>Решение</w:t>
        </w:r>
      </w:hyperlink>
      <w:r>
        <w:t xml:space="preserve"> Коллегии Евразийской экономической комиссии от 29.03.2022 N 53.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3. Установить: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 xml:space="preserve">3.1. Технический </w:t>
      </w:r>
      <w:hyperlink w:anchor="P51">
        <w:r>
          <w:rPr>
            <w:color w:val="0000FF"/>
          </w:rPr>
          <w:t>регламент</w:t>
        </w:r>
      </w:hyperlink>
      <w:r>
        <w:t xml:space="preserve"> Таможенного союза "Технический регламент на масложировую продукцию" (далее - Технический регламент) вступает в силу с 1 июля 2013 года, при этом:</w:t>
      </w:r>
    </w:p>
    <w:p w:rsidR="00E45ACA" w:rsidRDefault="00E45ACA">
      <w:pPr>
        <w:pStyle w:val="ConsPlusNormal"/>
        <w:spacing w:before="200"/>
        <w:ind w:firstLine="540"/>
        <w:jc w:val="both"/>
      </w:pPr>
      <w:bookmarkStart w:id="1" w:name="P21"/>
      <w:bookmarkEnd w:id="1"/>
      <w:r>
        <w:t xml:space="preserve">- требование </w:t>
      </w:r>
      <w:hyperlink w:anchor="P436">
        <w:r>
          <w:rPr>
            <w:color w:val="0000FF"/>
          </w:rPr>
          <w:t>Приложения 1</w:t>
        </w:r>
      </w:hyperlink>
      <w:r>
        <w:t xml:space="preserve"> Технического регламента по показателю безопасности "бенз(а)пирен" вступает в силу с 1 января 2014 года,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 xml:space="preserve">- требование по показателю безопасности транс-изомеры жирных кислот вступает в силу в соответствии со сроками, установленными </w:t>
      </w:r>
      <w:hyperlink w:anchor="P436">
        <w:r>
          <w:rPr>
            <w:color w:val="0000FF"/>
          </w:rPr>
          <w:t>Приложением 1</w:t>
        </w:r>
      </w:hyperlink>
      <w:r>
        <w:t xml:space="preserve"> Технического регламента;</w:t>
      </w:r>
    </w:p>
    <w:p w:rsidR="00E45ACA" w:rsidRDefault="00E45ACA">
      <w:pPr>
        <w:pStyle w:val="ConsPlusNormal"/>
        <w:spacing w:before="200"/>
        <w:ind w:firstLine="540"/>
        <w:jc w:val="both"/>
      </w:pPr>
      <w:bookmarkStart w:id="2" w:name="P23"/>
      <w:bookmarkEnd w:id="2"/>
      <w:r>
        <w:t xml:space="preserve">3.2. Документы об оценке (подтверждении) соответствия обязательным требованиям, установленным нормативными правовыми актами Таможенного союза или законодательством государства - члена Таможенного союза, выданные или принятые в отношении продукции, являющейся объектом технического регулирования Технического </w:t>
      </w:r>
      <w:hyperlink w:anchor="P51">
        <w:r>
          <w:rPr>
            <w:color w:val="0000FF"/>
          </w:rPr>
          <w:t>регламента</w:t>
        </w:r>
      </w:hyperlink>
      <w:r>
        <w:t xml:space="preserve"> (далее - продукция), до дня вступления в силу Технического </w:t>
      </w:r>
      <w:hyperlink w:anchor="P51">
        <w:r>
          <w:rPr>
            <w:color w:val="0000FF"/>
          </w:rPr>
          <w:t>регламента</w:t>
        </w:r>
      </w:hyperlink>
      <w:r>
        <w:t>, действительны до окончания срока их действия, но не позднее 15 февраля 2015 года. Указанные документы, выданные или принятые до дня официального опубликования настоящего Решения, действительны до окончания срока их действия.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 xml:space="preserve">Со дня вступления в силу Технического </w:t>
      </w:r>
      <w:hyperlink w:anchor="P51">
        <w:r>
          <w:rPr>
            <w:color w:val="0000FF"/>
          </w:rPr>
          <w:t>регламента</w:t>
        </w:r>
      </w:hyperlink>
      <w:r>
        <w:t xml:space="preserve"> выдача или принятие документов об оценке (подтверждении) соответствия продукции обязательным требованиям, ранее установленным нормативными правовыми актами Таможенного союза или законодательством государства - члена Таможенного союза, не допускается;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 xml:space="preserve">3.3. До 15 февраля 2015 года допускается производство и выпуск в обращение продукции в соответствии с обязательными требованиями, ранее установленными нормативными правовыми актами Таможенного союза или законодательством государства - члена Таможенного союза, при наличии документов об оценке (подтверждении) соответствия продукции указанным обязательным требованиям, выданных или принятых до дня вступления в силу Технического </w:t>
      </w:r>
      <w:hyperlink w:anchor="P51">
        <w:r>
          <w:rPr>
            <w:color w:val="0000FF"/>
          </w:rPr>
          <w:t>регламента</w:t>
        </w:r>
      </w:hyperlink>
      <w:r>
        <w:t>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Указанная продукция маркируется национальным знаком соответствия (знаком обращения на рынке) в соответствии с законодательством государства - члена Таможенного союза.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lastRenderedPageBreak/>
        <w:t>Маркировка такой продукции единым знаком обращения продукции на рынке государств - членов Таможенного союза не допускается;</w:t>
      </w:r>
    </w:p>
    <w:p w:rsidR="00E45ACA" w:rsidRDefault="00E45ACA">
      <w:pPr>
        <w:pStyle w:val="ConsPlusNormal"/>
        <w:spacing w:before="200"/>
        <w:ind w:firstLine="540"/>
        <w:jc w:val="both"/>
      </w:pPr>
      <w:bookmarkStart w:id="3" w:name="P28"/>
      <w:bookmarkEnd w:id="3"/>
      <w:r>
        <w:t xml:space="preserve">3.4. Обращение продукции, выпущенной в обращение в период действия документов об оценке (подтверждении) соответствия, указанных в </w:t>
      </w:r>
      <w:hyperlink w:anchor="P23">
        <w:r>
          <w:rPr>
            <w:color w:val="0000FF"/>
          </w:rPr>
          <w:t>подпункте 3.2</w:t>
        </w:r>
      </w:hyperlink>
      <w:r>
        <w:t xml:space="preserve"> настоящего Решения, допускается в течение срока годности продукции, установленного в соответствии с законодательством государства - члена Таможенного союза.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 xml:space="preserve">4. Секретариату Комиссии совместно со Сторонами подготовить проект Плана мероприятий, необходимых для реализации Технического </w:t>
      </w:r>
      <w:hyperlink w:anchor="P51">
        <w:r>
          <w:rPr>
            <w:color w:val="0000FF"/>
          </w:rPr>
          <w:t>регламента</w:t>
        </w:r>
      </w:hyperlink>
      <w:r>
        <w:t>, и в трехмесячный срок со дня вступления в силу настоящего Решения обеспечить представление его на утверждение Комиссии в установленном порядке.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 xml:space="preserve">5. Российской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стандартов, указанных в </w:t>
      </w:r>
      <w:hyperlink w:anchor="P18">
        <w:r>
          <w:rPr>
            <w:color w:val="0000FF"/>
          </w:rPr>
          <w:t>пункте 2</w:t>
        </w:r>
      </w:hyperlink>
      <w:r>
        <w:t xml:space="preserve"> настоящего Решения, и представление их не реже одного раза в год со дня вступления в силу Технического </w:t>
      </w:r>
      <w:hyperlink w:anchor="P51">
        <w:r>
          <w:rPr>
            <w:color w:val="0000FF"/>
          </w:rPr>
          <w:t>регламента</w:t>
        </w:r>
      </w:hyperlink>
      <w:r>
        <w:t xml:space="preserve"> в Секретариат Комиссии для утверждения Комиссией в установленном порядке.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6. Сторонам: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 xml:space="preserve">6.1. До дня вступления в силу Технического </w:t>
      </w:r>
      <w:hyperlink w:anchor="P51">
        <w:r>
          <w:rPr>
            <w:color w:val="0000FF"/>
          </w:rPr>
          <w:t>регламента</w:t>
        </w:r>
      </w:hyperlink>
      <w:r>
        <w:t xml:space="preserve"> определить органы государственного контроля (надзора), ответственные за осуществление государственного контроля (надзора) за соблюдением требований Технического </w:t>
      </w:r>
      <w:hyperlink w:anchor="P51">
        <w:r>
          <w:rPr>
            <w:color w:val="0000FF"/>
          </w:rPr>
          <w:t>регламента</w:t>
        </w:r>
      </w:hyperlink>
      <w:r>
        <w:t>, и информировать об этом Комиссию;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 xml:space="preserve">6.2. Со дня вступления в силу Технического </w:t>
      </w:r>
      <w:hyperlink w:anchor="P51">
        <w:r>
          <w:rPr>
            <w:color w:val="0000FF"/>
          </w:rPr>
          <w:t>регламента</w:t>
        </w:r>
      </w:hyperlink>
      <w:r>
        <w:t xml:space="preserve"> обеспечить проведение государственного контроля (надзора) за соблюдением требований Технического </w:t>
      </w:r>
      <w:hyperlink w:anchor="P51">
        <w:r>
          <w:rPr>
            <w:color w:val="0000FF"/>
          </w:rPr>
          <w:t>регламента</w:t>
        </w:r>
      </w:hyperlink>
      <w:r>
        <w:t xml:space="preserve"> с учетом </w:t>
      </w:r>
      <w:hyperlink w:anchor="P23">
        <w:r>
          <w:rPr>
            <w:color w:val="0000FF"/>
          </w:rPr>
          <w:t>подпунктов 3.2</w:t>
        </w:r>
      </w:hyperlink>
      <w:r>
        <w:t xml:space="preserve"> - </w:t>
      </w:r>
      <w:hyperlink w:anchor="P28">
        <w:r>
          <w:rPr>
            <w:color w:val="0000FF"/>
          </w:rPr>
          <w:t>3.4</w:t>
        </w:r>
      </w:hyperlink>
      <w:r>
        <w:t xml:space="preserve"> настоящего Решения.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7. Настоящее Решение вступает в силу с даты его официального опубликования.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jc w:val="center"/>
      </w:pPr>
      <w:r>
        <w:t>Члены Комиссии Таможенного союза: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Cell"/>
        <w:jc w:val="both"/>
      </w:pPr>
      <w:r>
        <w:t xml:space="preserve">    От Республики              От Республики              От Российской</w:t>
      </w:r>
    </w:p>
    <w:p w:rsidR="00E45ACA" w:rsidRDefault="00E45ACA">
      <w:pPr>
        <w:pStyle w:val="ConsPlusCell"/>
        <w:jc w:val="both"/>
      </w:pPr>
      <w:r>
        <w:t xml:space="preserve">       Беларусь                  Казахстан                  Федерации</w:t>
      </w:r>
    </w:p>
    <w:p w:rsidR="00E45ACA" w:rsidRDefault="00E45ACA">
      <w:pPr>
        <w:pStyle w:val="ConsPlusCell"/>
        <w:jc w:val="both"/>
      </w:pPr>
      <w:r>
        <w:t xml:space="preserve">      (Подпись)                  (Подпись)                  (Подпись)</w:t>
      </w:r>
    </w:p>
    <w:p w:rsidR="00E45ACA" w:rsidRDefault="00E45ACA">
      <w:pPr>
        <w:pStyle w:val="ConsPlusCell"/>
        <w:jc w:val="both"/>
      </w:pPr>
      <w:r>
        <w:t xml:space="preserve">       С.РУМАС                   У.ШУКЕЕВ                   И.ШУВАЛОВ</w:t>
      </w:r>
    </w:p>
    <w:p w:rsidR="00E45ACA" w:rsidRDefault="00E45ACA">
      <w:pPr>
        <w:pStyle w:val="ConsPlusNormal"/>
        <w:jc w:val="both"/>
      </w:pP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jc w:val="right"/>
        <w:outlineLvl w:val="0"/>
      </w:pPr>
      <w:r>
        <w:t>Утвержден</w:t>
      </w:r>
    </w:p>
    <w:p w:rsidR="00E45ACA" w:rsidRDefault="00E45ACA">
      <w:pPr>
        <w:pStyle w:val="ConsPlusNormal"/>
        <w:jc w:val="right"/>
      </w:pPr>
      <w:r>
        <w:t>Решением Комиссии Таможенного союза</w:t>
      </w:r>
    </w:p>
    <w:p w:rsidR="00E45ACA" w:rsidRDefault="00E45ACA">
      <w:pPr>
        <w:pStyle w:val="ConsPlusNormal"/>
        <w:jc w:val="right"/>
      </w:pPr>
      <w:r>
        <w:t>от 9 декабря 2011 г. N 883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Title"/>
        <w:jc w:val="center"/>
      </w:pPr>
      <w:bookmarkStart w:id="4" w:name="P51"/>
      <w:bookmarkEnd w:id="4"/>
      <w:r>
        <w:t>ТЕХНИЧЕСКИЙ РЕГЛАМЕНТ ТАМОЖЕННОГО СОЮЗА</w:t>
      </w:r>
    </w:p>
    <w:p w:rsidR="00E45ACA" w:rsidRDefault="00E45ACA">
      <w:pPr>
        <w:pStyle w:val="ConsPlusTitle"/>
        <w:jc w:val="center"/>
      </w:pPr>
    </w:p>
    <w:p w:rsidR="00E45ACA" w:rsidRDefault="00E45ACA">
      <w:pPr>
        <w:pStyle w:val="ConsPlusTitle"/>
        <w:jc w:val="center"/>
      </w:pPr>
      <w:r>
        <w:t>ТР ТС 024/2011</w:t>
      </w:r>
    </w:p>
    <w:p w:rsidR="00E45ACA" w:rsidRDefault="00E45ACA">
      <w:pPr>
        <w:pStyle w:val="ConsPlusTitle"/>
        <w:jc w:val="center"/>
      </w:pPr>
    </w:p>
    <w:p w:rsidR="00E45ACA" w:rsidRDefault="00E45ACA">
      <w:pPr>
        <w:pStyle w:val="ConsPlusTitle"/>
        <w:jc w:val="center"/>
      </w:pPr>
      <w:r>
        <w:t>ТЕХНИЧЕСКИЙ РЕГЛАМЕНТ НА МАСЛОЖИРОВУЮ ПРОДУКЦИЮ</w:t>
      </w:r>
    </w:p>
    <w:p w:rsidR="00E45ACA" w:rsidRDefault="00E45AC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45AC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5ACA" w:rsidRDefault="00E45AC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5ACA" w:rsidRDefault="00E45AC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5ACA" w:rsidRDefault="00E45AC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5ACA" w:rsidRDefault="00E45AC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Евразийской экономической комиссии</w:t>
            </w:r>
          </w:p>
          <w:p w:rsidR="00E45ACA" w:rsidRDefault="00E45ACA">
            <w:pPr>
              <w:pStyle w:val="ConsPlusNormal"/>
              <w:jc w:val="center"/>
            </w:pPr>
            <w:r>
              <w:rPr>
                <w:color w:val="392C69"/>
              </w:rPr>
              <w:t>от 23.04.2015 N 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5ACA" w:rsidRDefault="00E45ACA">
            <w:pPr>
              <w:pStyle w:val="ConsPlusNormal"/>
            </w:pPr>
          </w:p>
        </w:tc>
      </w:tr>
    </w:tbl>
    <w:p w:rsidR="00E45ACA" w:rsidRDefault="00E45ACA">
      <w:pPr>
        <w:pStyle w:val="ConsPlusNormal"/>
        <w:jc w:val="center"/>
      </w:pPr>
    </w:p>
    <w:p w:rsidR="00E45ACA" w:rsidRDefault="00E45ACA">
      <w:pPr>
        <w:pStyle w:val="ConsPlusTitle"/>
        <w:jc w:val="center"/>
        <w:outlineLvl w:val="1"/>
      </w:pPr>
      <w:r>
        <w:t>Предисловие</w:t>
      </w:r>
    </w:p>
    <w:p w:rsidR="00E45ACA" w:rsidRDefault="00E45ACA">
      <w:pPr>
        <w:pStyle w:val="ConsPlusNormal"/>
        <w:jc w:val="center"/>
      </w:pPr>
    </w:p>
    <w:p w:rsidR="00E45ACA" w:rsidRDefault="00E45ACA">
      <w:pPr>
        <w:pStyle w:val="ConsPlusNormal"/>
        <w:ind w:firstLine="540"/>
        <w:jc w:val="both"/>
      </w:pPr>
      <w:r>
        <w:t xml:space="preserve">1. Настоящий технический регламент Таможенного союза разработан в соответствии с </w:t>
      </w:r>
      <w:hyperlink r:id="rId11">
        <w:r>
          <w:rPr>
            <w:color w:val="0000FF"/>
          </w:rPr>
          <w:t>Соглашением</w:t>
        </w:r>
      </w:hyperlink>
      <w:r>
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 xml:space="preserve">2. Настоящий технический регламент Таможенного союза разработан с целью установления </w:t>
      </w:r>
      <w:r>
        <w:lastRenderedPageBreak/>
        <w:t>на единой таможенной территории Таможенного союза единых обязательных для применения и исполнения требований к масложировой продукции, обеспечения свободного перемещения масложировой продукции, выпускаемой в обращение на единой таможенной территории Таможенного союза.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3. Если в отношении масложировой продукции будут приняты иные технические регламенты Таможенного союза, устанавливающие требования к масложировой продукции, то масложировая продукция должна соответствовать требованиям этих технических регламентов Таможенного союза, действие которых на нее распространяется.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Title"/>
        <w:ind w:firstLine="540"/>
        <w:jc w:val="both"/>
        <w:outlineLvl w:val="1"/>
      </w:pPr>
      <w:r>
        <w:t>Глава 1. Область применения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  <w:r>
        <w:t>1. Настоящий технический регламент Таможенного союза "Технический регламент на масложировую продукцию" (далее - технический регламент) распространяется на масложировую продукцию, выпускаемую в обращение на территории государств - членов Таможенного союза, устанавливает требования к ней, включая требования к ее упаковке и маркировке, а также к связанным с ними процессам производства, хранения, перевозки, реализации.</w:t>
      </w:r>
    </w:p>
    <w:p w:rsidR="00E45ACA" w:rsidRDefault="00E45ACA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решения</w:t>
        </w:r>
      </w:hyperlink>
      <w:r>
        <w:t xml:space="preserve"> Совета Евразийской экономической комиссии от 23.04.2015 N 39)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Действие настоящего технического регламента не распространяется: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- на масложировую продукцию, полученную в процессе непромышленного производства, за исключением масла растительного;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- непищевую масложировую продукцию, за исключением глицерина натурального сырого и мыла хозяйственного.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2. Настоящий технический регламент устанавливает требования к масложировой продукции в целях защиты жизни и здоровья граждан и предупреждения действий, вводящих в заблуждение приобретателей (потребителей).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3. При применении настоящего технического регламента должны учитываться требования других технических регламентов Таможенного союза, действие которых распространяется на масложировую продукцию.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Title"/>
        <w:ind w:firstLine="540"/>
        <w:jc w:val="both"/>
        <w:outlineLvl w:val="2"/>
      </w:pPr>
      <w:r>
        <w:t>Статья 1. Масложировая продукция, являющаяся объектом технического регулирования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  <w:r>
        <w:t>Объектом технического регулирования настоящего технического регламента является следующая масложировая продукция: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1) пищевая масложировая продукция: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а) масла растительные;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б) фракции масел растительных;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в) масла (жиры) переэтерифицированные рафинированные дезодорированные;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г) масла (жиры) гидрогенизированные рафинированные дезодорированные;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д) маргарины;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е) спреды растительно-сливочные и растительно-жировые;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ж) смеси топленые растительно-сливочные и растительно-жировые;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з) жиры специального назначения, в том числе жиры кулинарные, кондитерские, хлебопекарные;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и) заменители молочного жира;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к) эквиваленты масла какао;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л) улучшители масла какао SOS-типа;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lastRenderedPageBreak/>
        <w:t>м) заменители масла какао POP-типа;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н) заменители масла какао нетемперируемые нелауринового типа;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о) заменители масла какао нетемперируемые лауринового типа;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п) соусы на основе растительных масел;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р) майонезы;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с) соусы майонезные;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т) кремы на растительных маслах;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у) глицерин дистиллированный;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2) непищевая масложировая продукция: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а) глицерин натуральный сырой;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б) мыло хозяйственное.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Title"/>
        <w:ind w:firstLine="540"/>
        <w:jc w:val="both"/>
        <w:outlineLvl w:val="1"/>
      </w:pPr>
      <w:r>
        <w:t>Глава 2. Определения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Title"/>
        <w:ind w:firstLine="540"/>
        <w:jc w:val="both"/>
        <w:outlineLvl w:val="2"/>
      </w:pPr>
      <w:bookmarkStart w:id="5" w:name="P105"/>
      <w:bookmarkEnd w:id="5"/>
      <w:r>
        <w:t>Статья 2. Определения масложировой продукции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  <w:r>
        <w:t>1. Масложировая продукция - масла растительные и продукция, изготавливаемая на основе растительных или растительных и животных масел и жиров (включая жиры рыб и морских млекопитающих), с добавлением или без добавления воды, пищевых добавок и других ингредиентов.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2. Пищевая масложировая продукция - масложировая продукция, предназначенная для употребления в пищу или применения в различных отраслях пищевой промышленности.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3. Определения пищевой масложировой продукции: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 xml:space="preserve">1) масло растительное (см. </w:t>
      </w:r>
      <w:hyperlink w:anchor="P676">
        <w:r>
          <w:rPr>
            <w:color w:val="0000FF"/>
          </w:rPr>
          <w:t>приложение 4</w:t>
        </w:r>
      </w:hyperlink>
      <w:r>
        <w:t>) - смесь глицеридов жирных кислот и сопутствующих им веществ, извлекаемая из масличного сырья и содержащая не менее 99 процентов жира;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2) масличное сырье - семена, плоды масличных растений, маслосодержащие части растительных культур;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3) фракция масла растительного - смесь глицеридов жирных кислот, выделенная в процессе фракционирования из масла растительного или фракции масла растительного, имеющая температуру плавления, отличную от температуры плавления исходного растительного масла или его фракции;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4) масло растительное нерафинированное - масло растительное, очищенное от мелкой и крупной взвеси, не прошедшее очистку по полному или частичному циклу стадий рафинации;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5) масло растительное вымороженное - масло растительное, очищенное от взвеси и подвергнутое процессу низкотемпературного удаления восковых веществ;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6) масло растительное гидратированное - масло растительное, очищенное от фосфоросодержащих веществ;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7) масло растительное рафинированное - масло растительное, прошедшее очистку по полному или частичному циклу стадий рафинации;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8) масло растительное рафинированное дезодорированное - масло растительное рафинированное, прошедшее процесс дезодорации;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9) масло растительное - смесь - смесь растительных масел в различных соотношениях;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10) масло растительное ароматизированное - масло растительное с добавлением вкусоароматических добавок;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lastRenderedPageBreak/>
        <w:t>11) масло растительное с растительными добавками - масло растительное с добавлением натуральных растительных экстрактов;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12) масло (жир) гидрогенизированное рафинированное дезодорированное - продовольственное пищевое сырье, полученное в процессе гидрогенизации растительного масла с добавлением или без добавления животных жиров, жиров рыб и морских млекопитающих, прошедший процессы рафинации и дезодорации;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13) масло (жир) переэтерифицированное рафинированное дезодорированное - продовольственное пищевое сырье, полученное в процессе переэтерификации растительного масла с добавлением или без добавления животных жиров, жиров рыб и морских млекопитающих, прошедший процессы рафинации и дезодорации;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14) маргарин - эмульсионный жировой продукт с массовой долей жира не менее 20 процентов, состоящий из немодифицированных и (или) модифицированных растительных масел с (или без) животными жирами, с (или без) жирами рыб и морских млекопитающих, воды с добавлением или без добавления молока и (или) продуктов его переработки, пищевых добавок и других пищевых ингредиентов;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15) твердый маргарин - маргарин, имеющий пластичную плотную консистенцию и сохраняющий свою форму при температуре 20 +/- 2 градуса Цельсия;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16) мягкий маргарин - маргарин, имеющий пластичную мягкую консистенцию при температуре 10 +/- 2 градуса Цельсия;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17) жидкий маргарин - маргарин, имеющий жидкую консистенцию и сохраняющий свойства однородной эмульсии при температурах, предусмотренных для жидкого маргарина конкретного назначения;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18) спред - эмульсионный жировой продукт с массовой долей общего жира не менее 39 процентов, имеющий пластичную консистенцию, с температурой плавления жировой фазы не выше 36 градусов Цельсия, изготавливаемый из молочного жира, и (или) сливок, и (или) сливочного масла и немодифицированных и (или) модифицированных растительных масел или только из немодифицированных и (или) модифицированных растительных масел с добавлением или без добавления пищевых добавок и других пищевых ингредиентов;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19) спред растительно-сливочный - спред с массовой долей молочного жира в составе жировой фазы от 15 до 50 процентов;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20) спред растительно-жировой - спред, жировая фаза которого состоит из немодифицированных и (или) модифицированных растительных масел с добавлением или без добавления молочного жира (менее 15 процентов);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21) смеси топленые - продукты с массовой долей жира не менее 99 процентов, изготавливаемые путем смешивания нагретых до температуры полного расплавления молочного жира, и (или) сливок, и (или) сливочного масла и немодифицированных и (или) модифицированных растительных масел или только из немодифицированных и (или) модифицированных растительных масел либо путем применения других технологических приемов;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22) смеси топленые растительно-сливочные - смеси топленые с массовой долей молочного жира в составе жировой фазы от 15 до 50 процентов;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23) смеси топленые растительно-жировые - смеси топленые, жировая фаза которых состоит из немодифицированных и (или) модифицированных растительных масел с добавлением или без добавления молочного жира (менее 15 процентов);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24) жиры специального назначения, в том числе жиры кулинарные, кондитерские, хлебопекарные - жировые продукты с массовой долей жира не менее 98 процентов, изготавливаемые для различных отраслей промышленности из немодифицированных и (или) модифицированных растительных масел с добавлением или без добавления животных жиров и их смесей, с добавлением или без добавления пищевых добавок и других пищевых ингредиентов;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 xml:space="preserve">25) заменитель молочного жира - продукт с массовой долей жира не менее 99,0 процентов, предназначенный для замещения молочного жира в пищевых продуктах, произведенный из немодифицированных и (или) модифицированных растительных масел с добавлением или без </w:t>
      </w:r>
      <w:r>
        <w:lastRenderedPageBreak/>
        <w:t>добавления пищевых добавок, с температурой плавления не более 36 °C, содержащий не более 5 процентов массовой доли твердых триглицеридов при 35 °C, не более 65 процентов массовой доли насыщенных кислот от суммы жирных кислот, в том числе не более 38 процентов массовой доли пальмитиновой кислоты от суммы жирных кислот;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26) эквиваленты масла какао - продукты с массовой долей жира не менее 99 процентов, обладающие совместимостью с маслом какао в любых соотношениях, нуждающиеся в темперировании, имеющие сходные с маслом какао физико-химические свойства и состав жирных кислот, содержащие не более 1 процента массовой доли лауриновой кислоты, не менее 50 процентов массовой доли 2-олеодинасыщенных триглицеридов, изготавливаемые из немодифицированных масел растительных (эллипе, борнео, пальмового, сал, ши, кокум, из ядер манго) и их фракций с добавлением или без добавления пищевых добавок и других пищевых ингредиентов;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27) улучшители масла какао SOS-типа (SOS указывает на наличие в продукте 2-олеодистеарина) - продукты с массовой долей жира не менее 99 процентов, обладающие высокой совместимостью с маслом какао в любых соотношениях, нуждающиеся в темперировании, основным компонентом которых является 2-олеодистеарин (до 70 процентов), содержащие не более 1 процента массовой доли лауриновой кислоты, изготавливаемые из немодифицированных масел растительных (эллипе, борнео, пальмового, сал, ши, кокум, из ядер манго) и их фракций с добавлением или без добавления пищевых добавок и других пищевых ингредиентов;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28) заменители масла какао POP-типа (POP указывает на наличие в продукте 2-олеодипальмитина) - продукты с массовой долей жира не менее 99 процентов, обладающие частичной совместимостью с маслом какао (не менее 25 процентов), нуждающиеся в темперировании, основным компонентом которых является 2-олеодипальмитин (более 50 процентов), содержащие не более 1 процента массовой доли лауриновой кислоты, изготавливаемые из немодифицированных масел растительных и фракций растительных масел и (или) модифицированных растительных масел с добавлением или без добавления пищевых добавок и других пищевых ингредиентов;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29) заменители масла какао нетемперируемые нелауринового типа - продукты с массовой долей жира не менее 99 процентов, не нуждающиеся в темперировании, изготавливаемые на основе модифицированных растительных масел, содержащие не более 1 процента массовой доли лауриновой кислоты, с добавлением или без добавления пищевых добавок и других пищевых ингредиентов;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30) заменители масла какао нетемперируемые лауринового типа - продукты с массовой долей жира не менее 99 процентов, не нуждающиеся в темперировании, изготавливаемые на основе модифицированных растительных масел, содержащие не менее 40 процентов массовой доли лауриновой кислоты, с добавлением или без добавления пищевых добавок и других пищевых ингредиентов;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31) соус на основе растительных масел - продукт с содержанием жира не менее 5 процентов, изготовленный из одного или нескольких пищевых растительных масел и (или) модифицированных, с добавлением или без добавления воды, с добавлением пищевых добавок и других ингредиентов, в том числе натуральных специй, и (или) пряностей, и (или) трав, и (или) овощей, и (или) фруктов, и (или) грибов, и (или) орехов в виде кусочков и (или) порошка, придающих характерную направленность вкусу, и применяемый в качестве приправы к различным блюдам;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32) майонез - тонкодисперсный однородный эмульсионный продукт с содержанием жира не менее 50 процентов, изготавливаемый из рафинированных дезодорированных растительных масел, воды, яичных продуктов в количестве не менее 1 процента в пересчете на яичный желток (сухой), с добавлением или без добавления продуктов переработки молока, пищевых добавок и других пищевых ингредиентов;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33) соус майонезный - тонкодисперсный эмульсионный продукт с содержанием жира не менее 15 процентов, изготавливаемый из рафинированных дезодорированных растительных масел, воды, с добавлением или без добавления продуктов переработки молока, пищевых добавок и других пищевых ингредиентов;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 xml:space="preserve">34) крем на растительных маслах - продукт с содержанием жира не менее 10 процентов, изготавливаемый на основе растительных масел и (или) модифицированных растительных масел с добавлением или без добавления молочных и (или) растительных белков, сахара, а также с </w:t>
      </w:r>
      <w:r>
        <w:lastRenderedPageBreak/>
        <w:t>добавлением или без добавления натуральных фруктов, соков, пищевых добавок и других пищевых ингредиентов;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35) глицерин дистиллированный - трехатомный спирт, получаемый при гидролизе или омылении растительных масел и/или животных жиров и подвергнутый процессу дистилляции.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4. Непищевая масложировая продукция - масложировая продукция, предназначенная для технических, бытовых целей.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5. Определения непищевой масложировой продукции: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1) глицерин натуральный сырой - трехатомный спирт, получаемый при гидролизе или омылении растительных масел и (или) животных жиров без применения методов синтеза;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2) мыло хозяйственное - продукт, состоящий из натриевых или калиевых солей натуральных жирных кислот с (или без) солями синтетических, смоляных, нафтеновых жирных кислот и других компонентов, улучшающих его потребительские свойства.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Title"/>
        <w:ind w:firstLine="540"/>
        <w:jc w:val="both"/>
        <w:outlineLvl w:val="2"/>
      </w:pPr>
      <w:bookmarkStart w:id="6" w:name="P150"/>
      <w:bookmarkEnd w:id="6"/>
      <w:r>
        <w:t>Статья 3. Определения технологических процессов производства масложировой продукции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  <w:r>
        <w:t>1) рафинация - процесс очистки растительных масел от сопутствующих им примесей по полному или частичному циклу: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а) полный цикл рафинации - процесс очистки масел от нежировых примесей и сопутствующих веществ, в т.ч. от свободных жирных кислот, фосфорсодержащих, восковых, красящих веществ и веществ, обуславливающих вкус и запах;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б) рафинация по частичному циклу включает в себя совокупность нескольких стадий рафинации полного цикла;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2) дезодорация - высокотемпературный процесс удаления одорирующих и других летучих веществ путем отгонки под вакуумом с перегретым паром;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3) дистилляционная нейтрализация - высокотемпературный процесс удаления свободных жирных кислот, одорирующих и других летучих веществ путем отгонки под вакуумом с перегретым паром;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4) дистилляция - процесс очистки путем испарения и конденсации образующихся паров;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5) модификация растительных масел и (или) жиров (за исключением генно-инженерной модификации) - химическое или биохимическое, или физическое преобразование растительных масел и (или) жиров путем гидрогенизации, переэтерификации, фракционирования или их комбинаций;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6) гидрогенизация - процесс частичного или полного насыщения водородом непредельных связей ненасыщенных жирных кислот глицеридов, входящих в состав растительных масел и (или) жиров;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7) переэтерификация - процесс перераспределения ацильных групп в глицеридах жира без изменения жирнокислотного состава триацилглицеридов;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8) фракционирование - разделение растительных масел термомеханическим способом на фракции.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Title"/>
        <w:ind w:firstLine="540"/>
        <w:jc w:val="both"/>
        <w:outlineLvl w:val="2"/>
      </w:pPr>
      <w:r>
        <w:t>Статья 4. Другие определения, используемые в настоящем техническом регламенте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  <w:r>
        <w:t>1) товаросопроводительные документы: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- документы, обеспечивающие возможность заинтересованного лица документально установить предыдущего и последующего собственников масложировой продукции, кроме потребителей;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- декларация о соответствии масложировой продукции и (или) ее копия;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lastRenderedPageBreak/>
        <w:t>2) идентификация продукции (процессов) - процедура отнесения пищевой продукции (процессов) к объектам технического регулирования технического регламента;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3) контаминация (загрязнение) масложировой продукции - попадание в масложировую продукцию предметов, частиц, веществ и организмов (контаминантов, загрязнителей) и их присутствие в количествах, несвойственных данной масложировой продукции или превышающих установленные уровни, вследствие чего она приобретает опасные для человека свойства;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4) производственное помещение - помещение, используемое непосредственно для производства масложировой продукции;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5) санитарная обработка производственных помещений, технологического оборудования и инвентаря, непосредственно связанного с изготовлением масложировой продукции, - мойка или иная обработка поверхностей производственных помещений, технологического оборудования и инвентаря, в результате которой эти помещения, оборудование и инвентарь не могут явиться источниками загрязнения пищевой масложировой продукции и сырья;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6) обращение масложировой продукции - движение продукции от изготовителя к потребителю, охватывающее все процессы, которые проходят продукты после завершения их производства, начинающееся с момента передачи продукции изготовителем или импортером иному лицу (перевозчику, продавцу, потребителю).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Title"/>
        <w:ind w:firstLine="540"/>
        <w:jc w:val="both"/>
        <w:outlineLvl w:val="2"/>
      </w:pPr>
      <w:r>
        <w:t>Статья 5. Идентификация масложировой продукции (процессов) для целей их отнесения к объектам технического регулирования технического регламента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  <w:r>
        <w:t>1. Для целей отнесения масложировой продукции (процессов) к объектам технического регулирования, в отношении которых применяется настоящий технический регламент, заинтересованными лицами осуществляется идентификация продукции.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2. Идентификация масложировой продукции проводится по ее наименованию и (или) ее признакам, изложенным в определении такой продукции в настоящем техническом регламенте визуальным и (или) органолептическим, и (или) аналитическими методами.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3. Идентификация масложировой продукции проводится одним и (или) несколькими из следующих методов: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1) по наименованию - путем сравнения наименования и назначения масложировой продукции, указанных в маркировке на потребительской упаковке и/или в товаросопроводительном документе, с наименованием, указанным в определении вида масложировой продукции;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 xml:space="preserve">2) визуальным методом - путем сравнения внешнего вида масложировой продукции с признаками, указанными в определениях, предусмотренных </w:t>
      </w:r>
      <w:hyperlink w:anchor="P105">
        <w:r>
          <w:rPr>
            <w:color w:val="0000FF"/>
          </w:rPr>
          <w:t>статьями 2</w:t>
        </w:r>
      </w:hyperlink>
      <w:r>
        <w:t xml:space="preserve"> и </w:t>
      </w:r>
      <w:hyperlink w:anchor="P150">
        <w:r>
          <w:rPr>
            <w:color w:val="0000FF"/>
          </w:rPr>
          <w:t>3</w:t>
        </w:r>
      </w:hyperlink>
      <w:r>
        <w:t xml:space="preserve"> настоящего технического регламента и </w:t>
      </w:r>
      <w:hyperlink w:anchor="P649">
        <w:r>
          <w:rPr>
            <w:color w:val="0000FF"/>
          </w:rPr>
          <w:t>Приложениями 3</w:t>
        </w:r>
      </w:hyperlink>
      <w:r>
        <w:t xml:space="preserve"> и </w:t>
      </w:r>
      <w:hyperlink w:anchor="P676">
        <w:r>
          <w:rPr>
            <w:color w:val="0000FF"/>
          </w:rPr>
          <w:t>4</w:t>
        </w:r>
      </w:hyperlink>
      <w:r>
        <w:t xml:space="preserve"> к нему;</w:t>
      </w:r>
    </w:p>
    <w:p w:rsidR="00E45ACA" w:rsidRDefault="00E45ACA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решения</w:t>
        </w:r>
      </w:hyperlink>
      <w:r>
        <w:t xml:space="preserve"> Совета Евразийской экономической комиссии от 23.04.2015 N 39)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3) органолептическим методом - путем сравнения органолептических показателей масложировой продукции с признаками, изложенными в определении такой масложировой продукции в настоящем техническом регламенте. Органолептический метод применяется, если масложировую продукцию невозможно идентифицировать методом по наименованию и визуальным методом. При наличии у продукции признаков микробной порчи оценка их органолептических характеристик исключается;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 xml:space="preserve">4) аналитическим методом - путем проверки соответствия физико-химических показателей масложировой продукции признакам, указанным в определениях, предусмотренных </w:t>
      </w:r>
      <w:hyperlink w:anchor="P105">
        <w:r>
          <w:rPr>
            <w:color w:val="0000FF"/>
          </w:rPr>
          <w:t>статьями 2</w:t>
        </w:r>
      </w:hyperlink>
      <w:r>
        <w:t xml:space="preserve"> и </w:t>
      </w:r>
      <w:hyperlink w:anchor="P150">
        <w:r>
          <w:rPr>
            <w:color w:val="0000FF"/>
          </w:rPr>
          <w:t>3</w:t>
        </w:r>
      </w:hyperlink>
      <w:r>
        <w:t xml:space="preserve"> настоящего технического регламента и </w:t>
      </w:r>
      <w:hyperlink w:anchor="P649">
        <w:r>
          <w:rPr>
            <w:color w:val="0000FF"/>
          </w:rPr>
          <w:t>Приложением 3</w:t>
        </w:r>
      </w:hyperlink>
      <w:r>
        <w:t xml:space="preserve"> к нему. Аналитический метод применяется, если масложировую продукцию невозможно идентифицировать методом по наименованию, визуальным или органолептическим методами.</w:t>
      </w:r>
    </w:p>
    <w:p w:rsidR="00E45ACA" w:rsidRDefault="00E45ACA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решения</w:t>
        </w:r>
      </w:hyperlink>
      <w:r>
        <w:t xml:space="preserve"> Совета Евразийской экономической комиссии от 23.04.2015 N 39)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 xml:space="preserve">4. При идентификации процессов производства, хранения, перевозки и реализации продукции в целях отнесения данных процессов к объектам технического регулирования настоящего технического регламента необходимо убедиться, что эти процессы осуществляются в целях производства, хранения, перевозки и реализации масложировой продукции и связаны с обеспечением требований безопасности такой продукции. Идентификация процессов производства, </w:t>
      </w:r>
      <w:r>
        <w:lastRenderedPageBreak/>
        <w:t>хранения, перевозки и реализации продукции осуществляется посредством визуальной оценки указанных процессов.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Title"/>
        <w:ind w:firstLine="540"/>
        <w:jc w:val="both"/>
        <w:outlineLvl w:val="1"/>
      </w:pPr>
      <w:r>
        <w:t>Глава 3. Правила обращения на рынке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  <w:r>
        <w:t>1. Масложировая продукция (кроме масел растительных, полученных в процессе непромышленного производства) выпускается в обращение на рынке при ее соответствии настоящему техническому регламенту Таможенного союза, а также другим техническим регламентам Таможенного союза, действие которых на него распространяется.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2. Масложировая продукция (кроме масел растительных, полученных в процессе непромышленного производства), соответствующая требованиям настоящего технического регламента, техническим регламентам Таможенного союза и прошедшая процедуры оценки (подтверждения) соответствия, маркируется единым знаком обращения продукции на рынке государств - членов Таможенного союза.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 xml:space="preserve">3. Масла растительные, полученные в процессе непромышленного производства, должны соответствовать показателям безопасности, указанным в </w:t>
      </w:r>
      <w:hyperlink w:anchor="P436">
        <w:r>
          <w:rPr>
            <w:color w:val="0000FF"/>
          </w:rPr>
          <w:t>Приложении 1</w:t>
        </w:r>
      </w:hyperlink>
      <w:r>
        <w:t>, и реализовываться в местах, разрешенных в установленном порядке.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Title"/>
        <w:ind w:firstLine="540"/>
        <w:jc w:val="both"/>
        <w:outlineLvl w:val="1"/>
      </w:pPr>
      <w:r>
        <w:t>Глава 4. Требования безопасности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  <w:r>
        <w:t>Масложировая продукция, выпускаемая в обращение на территории стран - участниц Таможенного союза, при использовании по назначению в течение срока годности пищевой масложировой продукции и срока хранения непищевой масложировой продукции не должна причинять вреда жизни и здоровью человека.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Требования к масложировой продукции включают: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1) требования к допустимым уровням показателей безопасности и по микробиологическим нормативам безопасности пищевой масложировой продукции и к допустимым уровням показателей безопасности непищевой масложировой продукции;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2) требования к упаковке масложировой продукции;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3) требования к маркировке масложировой продукции.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Title"/>
        <w:ind w:firstLine="540"/>
        <w:jc w:val="both"/>
        <w:outlineLvl w:val="2"/>
      </w:pPr>
      <w:r>
        <w:t>Статья 6. Требования к допустимым уровням показателей безопасности и по микробиологическим нормативам безопасности пищевой масложировой продукции и к допустимым уровням показателей безопасности непищевой масложировой продукции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  <w:r>
        <w:t xml:space="preserve">1. Пищевая масложировая продукция должна соответствовать требованиям к допустимым уровням показателей безопасности и по микробиологическим нормативам безопасности, предусмотренным </w:t>
      </w:r>
      <w:hyperlink w:anchor="P436">
        <w:r>
          <w:rPr>
            <w:color w:val="0000FF"/>
          </w:rPr>
          <w:t>Приложениями 1</w:t>
        </w:r>
      </w:hyperlink>
      <w:r>
        <w:t xml:space="preserve">, </w:t>
      </w:r>
      <w:hyperlink w:anchor="P579">
        <w:r>
          <w:rPr>
            <w:color w:val="0000FF"/>
          </w:rPr>
          <w:t>2</w:t>
        </w:r>
      </w:hyperlink>
      <w:r>
        <w:t xml:space="preserve"> и </w:t>
      </w:r>
      <w:hyperlink w:anchor="P649">
        <w:r>
          <w:rPr>
            <w:color w:val="0000FF"/>
          </w:rPr>
          <w:t>3</w:t>
        </w:r>
      </w:hyperlink>
      <w:r>
        <w:t xml:space="preserve"> настоящего технического регламента, а также требованиям к допустимым уровням показателей безопасности и по микробиологическим нормативам безопасности других технических регламентов Таможенного союза, действие которых на нее распространяется.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 xml:space="preserve">2. Непищевая масложировая продукция должна отвечать требованиям к допустимым уровням показателей безопасности, предусмотренным </w:t>
      </w:r>
      <w:hyperlink w:anchor="P927">
        <w:r>
          <w:rPr>
            <w:color w:val="0000FF"/>
          </w:rPr>
          <w:t>Приложением 5</w:t>
        </w:r>
      </w:hyperlink>
      <w:r>
        <w:t xml:space="preserve"> настоящего технического регламента.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Title"/>
        <w:ind w:firstLine="540"/>
        <w:jc w:val="both"/>
        <w:outlineLvl w:val="2"/>
      </w:pPr>
      <w:r>
        <w:t>Статья 7. Требования к упаковке масложировой продукции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  <w:r>
        <w:t>1. Упаковка масложировой продукции должна обеспечивать ее безопасность и неизменность ее идентификационных признаков при обращении масложировой продукции в течение срока годности пищевой масложировой продукции и срока хранения непищевой масложировой продукции.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2. Материалы упаковки, контактирующей с пищевой масложировой продукцией, должны соответствовать требованиям безопасности, установленным соответствующими техническими регламентами Таможенного союза.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 xml:space="preserve">3. При повреждении потребительской упаковки пищевая масложировая продукция должна быть изъята из обращения участником хозяйственной деятельности (владельцем масложировой </w:t>
      </w:r>
      <w:r>
        <w:lastRenderedPageBreak/>
        <w:t>продукции) самостоятельно, либо по предписанию уполномоченных органов государственного контроля (надзора).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Title"/>
        <w:ind w:firstLine="540"/>
        <w:jc w:val="both"/>
        <w:outlineLvl w:val="2"/>
      </w:pPr>
      <w:r>
        <w:t>Статья 8. Требования к маркировке пищевой масложировой продукции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  <w:r>
        <w:t>Информация, содержащаяся в маркировке пищевой масложировой продукции, излагается на русском языке. Указанная информация также может быть изложена на других языках, при этом ее содержание должно быть идентично содержанию информации на русском языке.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 xml:space="preserve">В маркировке допускается изменение порядка слов в наименованиях продуктов, формируемых на основе определений, предусмотренных </w:t>
      </w:r>
      <w:hyperlink w:anchor="P105">
        <w:r>
          <w:rPr>
            <w:color w:val="0000FF"/>
          </w:rPr>
          <w:t>статьями 2</w:t>
        </w:r>
      </w:hyperlink>
      <w:r>
        <w:t xml:space="preserve"> и </w:t>
      </w:r>
      <w:hyperlink w:anchor="P150">
        <w:r>
          <w:rPr>
            <w:color w:val="0000FF"/>
          </w:rPr>
          <w:t>3</w:t>
        </w:r>
      </w:hyperlink>
      <w:r>
        <w:t xml:space="preserve"> настоящего технического регламента и </w:t>
      </w:r>
      <w:hyperlink w:anchor="P649">
        <w:r>
          <w:rPr>
            <w:color w:val="0000FF"/>
          </w:rPr>
          <w:t>Приложениями 3</w:t>
        </w:r>
      </w:hyperlink>
      <w:r>
        <w:t xml:space="preserve"> и </w:t>
      </w:r>
      <w:hyperlink w:anchor="P676">
        <w:r>
          <w:rPr>
            <w:color w:val="0000FF"/>
          </w:rPr>
          <w:t>4</w:t>
        </w:r>
      </w:hyperlink>
      <w:r>
        <w:t xml:space="preserve"> к нему. Например: "масло подсолнечное", "подсолнечное масло", "масло соевое рафинированное дезодорированное", "рафинированное дезодорированное соевое масло", "жир кулинарный", "кулинарный жир", "соус майонезный", "майонезный соус" и другие.</w:t>
      </w:r>
    </w:p>
    <w:p w:rsidR="00E45ACA" w:rsidRDefault="00E45ACA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решения</w:t>
        </w:r>
      </w:hyperlink>
      <w:r>
        <w:t xml:space="preserve"> Совета Евразийской экономической комиссии от 23.04.2015 N 39)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В наименованиях маргаринов и спредов не допускается употребление слова "масло", однокоренных с ним слов, а также словосочетаний, содержащих слово "масло".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Маркировка потребительской упаковки масложировой продукции должна быть понятной, легкочитаемой, достоверной и не вводить в заблуждение потребителей, при этом надписи, знаки, символы должны быть контрастны фону, на котором размещена маркировка. Размер шрифта в мм для даты изготовления и срока годности должен составлять: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1) при массе продукции до 100 граммов - не менее 2,8 мм;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2) при массе продукции свыше 100 граммов - не менее 3,2 мм.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В маркировке пищевой масложировой продукции должна содержаться следующая информация: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 xml:space="preserve">1. Наименование пищевой масложировой продукции в соответствии с определениями, предусмотренными </w:t>
      </w:r>
      <w:hyperlink w:anchor="P105">
        <w:r>
          <w:rPr>
            <w:color w:val="0000FF"/>
          </w:rPr>
          <w:t>статьями 2</w:t>
        </w:r>
      </w:hyperlink>
      <w:r>
        <w:t xml:space="preserve"> и </w:t>
      </w:r>
      <w:hyperlink w:anchor="P150">
        <w:r>
          <w:rPr>
            <w:color w:val="0000FF"/>
          </w:rPr>
          <w:t>3</w:t>
        </w:r>
      </w:hyperlink>
      <w:r>
        <w:t xml:space="preserve"> настоящего технического регламента:</w:t>
      </w:r>
    </w:p>
    <w:p w:rsidR="00E45ACA" w:rsidRDefault="00E45ACA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решения</w:t>
        </w:r>
      </w:hyperlink>
      <w:r>
        <w:t xml:space="preserve"> Совета Евразийской экономической комиссии от 23.04.2015 N 39)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 xml:space="preserve">1) для масла растительного наименование указывается в соответствии с наименованием масличного сырья, из которого оно изготовлено, в соответствии с </w:t>
      </w:r>
      <w:hyperlink w:anchor="P676">
        <w:r>
          <w:rPr>
            <w:color w:val="0000FF"/>
          </w:rPr>
          <w:t>Приложением 4</w:t>
        </w:r>
      </w:hyperlink>
      <w:r>
        <w:t xml:space="preserve"> (наименование масла оливкового указывается в соответствии с </w:t>
      </w:r>
      <w:hyperlink w:anchor="P649">
        <w:r>
          <w:rPr>
            <w:color w:val="0000FF"/>
          </w:rPr>
          <w:t>Приложением 3</w:t>
        </w:r>
      </w:hyperlink>
      <w:r>
        <w:t>), и с указанием степени очистки, которой оно подвергнуто, например, "масло подсолнечное нерафинированное" или "масло соевое рафинированное" или "масло рапсовое рафинированное дезодорированное" и т.д.;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2) для масла растительного с растительными добавками в наименовании допускается указание наименования растительной добавки, которая была добавлена в продукцию;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3) для масла растительного ароматизированного указывается наименование "масло (вид масла в соответствии с наименованием сырья, из которого оно изготовлено) с ароматом... (далее указывается наименование аромата соответствующей вкусоароматической добавки)"; для масла растительного с добавлением растительных экстрактов допускается наименование "масло (вид масла в соответствии с наименованием сырья, из которого оно изготовлено) с экстрактом... (далее указывается наименование растения, из которого получен экстракт)"; для масла растительного с добавлением витаминов, в количестве, регламентируемом в законодательстве государств - членов Таможенного союза, указывается наименование "масло (вид масла в соответствии с наименованием сырья, из которого оно изготовлено) витаминизированное";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4) для масла растительного - смесь допускается в наименовании указывать наименование растительных масел в порядке уменьшения их массовых долей, без указания наименования объекта технического регулирования - "масло растительное - смесь", например, "Масло подсолнечно-соевое", "Масло подсолнечное с добавлением оливкового и рапсового масла".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5) для фракции масла растительного в наименовании приводится наименование фракции с указанием масла, подвергнутого фракционированию, например, "олеин пальмовый", "пальмитин хлопковый" и другие, с указанием наименования объекта технического регулирования - "фракция масла растительного";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 xml:space="preserve">6) для жиров специального назначения допускается указывать наименование в соответствии </w:t>
      </w:r>
      <w:r>
        <w:lastRenderedPageBreak/>
        <w:t>с назначением используемого жира, например, "жир кондитерский", "жир кулинарный "Фритюрный", "жир хлебопекарный" и так далее без указания наименования объекта технического регулирования - "жир специального назначения".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2. Состав пищевой масложировой продукции.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Указание состава пищевой масложировой продукции не требуется для пищевых продуктов, состоящих из одного ингредиента, в случае, если наименование пищевого продукта совпадает с наименованием ингредиента.</w:t>
      </w:r>
    </w:p>
    <w:p w:rsidR="00E45ACA" w:rsidRDefault="00E45ACA">
      <w:pPr>
        <w:pStyle w:val="ConsPlusNormal"/>
        <w:jc w:val="both"/>
      </w:pPr>
      <w:r>
        <w:t xml:space="preserve">(п. 2 в ред. </w:t>
      </w:r>
      <w:hyperlink r:id="rId17">
        <w:r>
          <w:rPr>
            <w:color w:val="0000FF"/>
          </w:rPr>
          <w:t>решения</w:t>
        </w:r>
      </w:hyperlink>
      <w:r>
        <w:t xml:space="preserve"> Совета Евразийской экономической комиссии от 23.04.2015 N 39)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3. Пищевая ценность (энергетическая ценность, содержание белков, жиров, углеводов, витаминов, макро- и микроэлементов в 100 граммах продукта).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Сведения о содержании белков, жиров, углеводов и калорийности/энергетической ценности приводятся в случаях, если их значение в 100 г пищевого продукта составляет не менее 2 процентов, а для минеральных веществ и витаминов не менее 5 процентов от рекомендуемого суточного потребления.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4. Дата изготовления.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5. Срок годности.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6. Наименование и место нахождения изготовителя, наименование и место нахождения организации, созданной на территории государств - членов Таможенного союза и уполномоченной изготовителем, в том числе иностранным, на принятие и удовлетворение претензий приобретателей в отношении масложировой продукции, или фамилия, имя, отчество и место нахождения индивидуального предпринимателя, зарегистрированного на территории государств - членов Таможенного союза и уполномоченного изготовителем, в том числе иностранным, на принятие и удовлетворение претензий приобретателей в отношении масложировой продукции, наименование и место нахождения лица, выполняющего функции иностранного изготовителя (при наличии).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7. Сведения о документе, в соответствии с которым произведена и может быть идентифицирована масложировая продукция.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8. Единый знак обращения продукции на рынке государств - членов Таможенного союза.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9. На потребительской упаковке пищевой масложировой продукции должна содержаться следующая информация: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1) Масса нетто и (или) объем.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2) Состав пищевой масложировой продукции в порядке уменьшения массовых долей ингредиентов (с обязательным указанием пищевых добавок, функциональных пищевых ингредиентов, витаминов и других микронутриентов, ароматизаторов).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Для пищевой масложировой продукции, полученной с применением ГМО, в том числе не содержащей дезоксирибонуклеиновую кислоту (ДНК) и белок, должна быть приведена информация: "генетически модифицированная продукция" или "продукция, полученная из генно-модифицированных организмов", или "продукция содержит компоненты генно-модифицированных организмов".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В случае, если изготовитель при производстве пищевой масложировой продукции не использовал генно-модифицированные организмы, содержание в пищевой продукции 0,9 процентов и менее ГМО является случайной или технически неустранимой примесью, и такая пищевая масложировая продукция не относится к пищевой продукции, содержащей ГМО. При маркировке такой пищевой масложировой продукции сведения о наличии ГМО не указываются.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Указание состава пищевой масложировой продукции не требуется для пищевых продуктов, состоящих из одного ингредиента, в случае если наименование пищевого продукта совпадает с наименованием ингредиента.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3) На потребительской упаковке масел растительных дополнительно должна содержаться следующая информация: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lastRenderedPageBreak/>
        <w:t>а) указание фирменного наименования (при наличии);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б) для масел растительных - смесей указывается перечень всех масел растительных в порядке уменьшения их массовых долей с указанием степени очистки, которой оно подвергнуто, для каждого вида масла, например, "масло рапсовое рафинированное дезодорированное, масло подсолнечное нерафинированное" или другие виды масел растительных. Если в состав масла растительного - смеси входят масла растительные, прошедшие одинаковые стадии рафинации, то допускается указание стадии рафинации после наименования, например, "Масло подсолнечное, масло соевое. Рафинированное дезодорированное";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в) дата розлива;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г) рекомендации по хранению после вскрытия потребительской упаковки.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4) На потребительской упаковке маргаринов, спредов растительно- сливочных и растительно-жировых, смесей топленых растительно-сливочных и растительно-жировых, жиров специального назначения, в том числе жиров кулинарных, кондитерских, хлебопекарных, заменителей молочного жира, эквивалентов масла какао, улучшителей масла какао SOS-типа, заменителей масла какао POP-типа, заменителей масла какао нетемперируемых нелауринового типа, заменителей масла какао нетемперируемых лауринового типа, дополнительно должна содержаться следующая информация: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а) температура хранения;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б) массовая доля общего жира;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в) массовая доля молочного жира - для спредов растительно-сливочных и смесей топленых растительно-сливочных;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г) максимальное содержание в жировой фазе продукта насыщенных жирных кислот и трансизомеров жирных кислот, в процентах от содержания жира в продукте.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5) На потребительской упаковке соусов на основе растительных масел, майонезов, соусов майонезных и кремов на растительных маслах дополнительно должна содержаться следующая информация: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а) температура хранения;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б) рекомендации по хранению после вскрытия потребительской упаковки.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10. На транспортной упаковке пищевой масложировой продукции должна содержаться следующая информация: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1) масса нетто единицы пищевой масложировой продукции, упакованной в потребительскую упаковку;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2) общая масса нетто транспортной упаковки и количество единиц пищевой масложировой продукции в потребительской упаковке;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3) масса нетто для нефасованной пищевой масложировой продукции;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4) состав пищевой масложировой продукции в порядке уменьшения массовых долей ингредиентов (с обязательным указанием пищевых добавок, функциональных пищевых ингредиентов, витаминов и других микронутриентов, ароматизаторов) - для нефасованной пищевой масложировой продукции.</w:t>
      </w:r>
    </w:p>
    <w:p w:rsidR="00E45ACA" w:rsidRDefault="00E45ACA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решения</w:t>
        </w:r>
      </w:hyperlink>
      <w:r>
        <w:t xml:space="preserve"> Совета Евразийской экономической комиссии от 23.04.2015 N 39)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Для нефасованной пищевой масложировой продукции, полученной с применением ГМО, в том числе не содержащей дезоксирибонуклеиновую кислоту (ДНК) и белок, должна быть приведена информация: "генетически модифицированная продукция" или "продукция, полученная из генно-модифицированных организмов", или "продукция содержит компоненты генно-модифицированных организмов".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 xml:space="preserve">В случае, если изготовитель при производстве пищевой масложировой продукции не использовал генно-модифицированные организмы, содержание в пищевой продукции 0,9 процентов </w:t>
      </w:r>
      <w:r>
        <w:lastRenderedPageBreak/>
        <w:t>и менее ГМО является случайной или технически неустранимой примесью, и такая пищевая масложировая продукция не относится к пищевой продукции, содержащей ГМО. При маркировке такой пищевой масложировой продукции сведения о наличии ГМО не указываются.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Для фасованной пищевой масложировой продукции информация о содержании ГМО указывается в соответствии с условиями договора поставки;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5) для маргаринов, спредов растительно-сливочных и растительно-жировых, смесей топленых растительно-сливочных и растительно-жировых, жиров специального назначения, в том числе жиров кулинарных, кондитерских, хлебопекарных, заменителей молочного жира, эквивалентов масла какао, улучшителей масла какао SOS-типа, заменителей масла какао POP-типа, заменителей масла какао нетемперируемых нелауринового типа, заменителей масла какао нетемперируемых лауринового типа - максимальное содержание в жировой фазе продукта насыщенных жирных кислот и трансизомеров жирных кислот, в процентах от содержания жира в продукте для нефасованной пищевой масложировой продукции;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6) условия хранения;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7) номер партии;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8) для масел растительных дополнительно указывается дата налива;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9) марка - для глицерина дистиллированного.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11. Для нефасованной масложировой продукции, перевозимой в емкостях, в товаросопроводительных документах должна содержаться следующая информация: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1) марка - для глицерина дистиллированного;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2) масса нетто;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3) дата налива.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12. На транспортную упаковку масложировой продукции наносятся знаки и надписи, необходимые для обеспечения безопасности продукции в процессе ее перевозки.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13. На потребительскую и (или) транспортную упаковки масложировой продукции дополнительно могут быть нанесены наименование организации - разработчика рецептуры и (или) технологии изготовления, товарный знак и иные дополнительные сведения.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Title"/>
        <w:ind w:firstLine="540"/>
        <w:jc w:val="both"/>
        <w:outlineLvl w:val="2"/>
      </w:pPr>
      <w:r>
        <w:t>Статья 9. Требования к маркировке непищевой масложировой продукции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  <w:r>
        <w:t>1. Информация, содержащаяся в маркировке непищевой масложировой продукции, излагается на русском языке. Указанная информация также может быть изложена на других языках, при этом ее содержание должно быть идентично содержанию информации на русском языке.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2. В маркировке непищевой масложировой продукции должна содержаться следующая информация: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1) дата изготовления;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2) срок хранения;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3) сведения о документе, в соответствии с которым произведена и может быть идентифицирована масложировая продукция;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4) единый знак обращения продукции на рынке государств - членов Таможенного союза.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 xml:space="preserve">3. В маркировке непищевой масложировой продукции допускается изменение порядка слов в наименовании продуктов, формируемых на основе понятий, указанных в </w:t>
      </w:r>
      <w:hyperlink w:anchor="P150">
        <w:r>
          <w:rPr>
            <w:color w:val="0000FF"/>
          </w:rPr>
          <w:t>статье 3</w:t>
        </w:r>
      </w:hyperlink>
      <w:r>
        <w:t>. Например: "глицерин натуральный сырой", "натуральный глицерин сырой", "мыло хозяйственное", "хозяйственное мыло".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4. На потребительской упаковке мыла хозяйственного должна содержаться следующая информация: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lastRenderedPageBreak/>
        <w:t>1) наименование мыла хозяйственного;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2) наименование и место нахождения изготовителя, наименование и место нахождения организации, созданной на территории государств - членов Таможенного союза и уполномоченной изготовителем, в том числе иностранным, на принятие и удовлетворение претензий приобретателей в отношении масложировой продукции, или фамилия, имя, отчество и место нахождения индивидуального предпринимателя, зарегистрированного на территории государств - членов Таможенного союза и уполномоченного изготовителем, в том числе иностранным, на принятие и удовлетворение претензий приобретателей в отношении масложировой продукции, наименование и место нахождения лица, выполняющего функции иностранного изготовителя (при наличии);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3) номинальная (условная) масса одного куска;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4) состав продукта в порядке уменьшения массовых долей ингредиентов;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5) номер партии.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5. На каждый кусок мыла хозяйственного без упаковки должен быть нанесен четкий штамп с указанием: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1) наименования изготовителя или товарного знака изготовителя;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2) наименования мыла хозяйственного;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3) номинальной (условной) массы куска.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6. На каждой единице транспортной упаковки непищевой масложировой продукции должна содержаться следующая информация: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1) наименование непищевой масложировой продукции;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2) наименование и место нахождения изготовителя, наименование и место нахождения организации, созданной на территории государств - членов Таможенного союза и уполномоченной изготовителем, в том числе иностранным, на принятие и удовлетворение претензий приобретателей в отношении масложировой продукции, или фамилия, имя, отчество и место нахождения индивидуального предпринимателя, зарегистрированного на территории государств - членов Таможенного союза и уполномоченного изготовителем, в том числе иностранным, на принятие и удовлетворение претензий приобретателей в отношении масложировой продукции, наименование и место нахождения лица, выполняющего функции иностранного изготовителя (при наличии);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3) состав продукта в порядке уменьшения массовых долей ингредиентов - для мыла хозяйственного;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4) сорт - для глицерина натурального сырого;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5) группа - для мыла хозяйственного;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6) номер партии;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7) количество кусков в ящике с указанием суммарной номинальной (условной) массы кусков - для мыла хозяйственного.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7. Для глицерина натурального сырого, перевозимого в емкостях, в товаросопроводительных документах должна содержаться следующая информация: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1) наименование;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2) сорт;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 xml:space="preserve">3) наименование и место нахождения изготовителя, наименование и место нахождения организации, созданной на территории государств - членов Таможенного союза и уполномоченной изготовителем, в том числе иностранным, на принятие и удовлетворение претензий приобретателей в отношении масложировой продукции, или фамилия, имя, отчество и место нахождения индивидуального предпринимателя, зарегистрированного на территории государств - членов Таможенного союза и уполномоченного изготовителем, в том числе иностранным, на принятие и </w:t>
      </w:r>
      <w:r>
        <w:lastRenderedPageBreak/>
        <w:t>удовлетворение претензий приобретателей в отношении масложировой продукции, наименование и место нахождения лица, выполняющего функции иностранного изготовителя (при наличии);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4) масса нетто;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5) номер партии.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Title"/>
        <w:ind w:firstLine="540"/>
        <w:jc w:val="both"/>
        <w:outlineLvl w:val="1"/>
      </w:pPr>
      <w:r>
        <w:t>Глава 5. Требования к обеспечению безопасности масложировой продукции в процессах ее производства, хранения, перевозки и реализации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Title"/>
        <w:ind w:firstLine="540"/>
        <w:jc w:val="both"/>
        <w:outlineLvl w:val="2"/>
      </w:pPr>
      <w:r>
        <w:t>Статья 10. Требования к процессу производства пищевой масложировой продукции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  <w:r>
        <w:t xml:space="preserve">1. Производство пищевой масложировой продукции осуществляется в соответствии с требованиями </w:t>
      </w:r>
      <w:hyperlink w:anchor="P329">
        <w:r>
          <w:rPr>
            <w:color w:val="0000FF"/>
          </w:rPr>
          <w:t>статьи 11</w:t>
        </w:r>
      </w:hyperlink>
      <w:r>
        <w:t xml:space="preserve"> настоящего технического регламента.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2. Материалы и изделия, контактирующие с пищевой масложировой продукцией, должны соответствовать требованиям технических регламентов Таможенного союза.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3. Требования к воде в разных агрегатных состояниях, используемой в процессе производства пищевой масложировой продукции, должны соответствовать требованиям, установленным соответствующим техническим регламентом Таможенного союза.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4. Воздух, контактирующий с продуктом в процессе производства, не должен являться источником загрязнения пищевой масложировой продукции.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5. Используемое сырье, пищевые добавки и другие пищевые ингредиенты должны соответствовать требованиям технических регламентов Таможенного союза.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6. Производство пищевой масложировой продукции должно осуществляться в зданиях и производственных помещениях, соответствующих требованиям технических регламентов Таможенного союза.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7. Используемые технологическое оборудование и инвентарь должны соответствовать требованиям технических регламентов Таможенного союза.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 xml:space="preserve">8. Хранение и удаление отходов производства пищевой масложировой продукции должны соответствовать требованиям </w:t>
      </w:r>
      <w:hyperlink w:anchor="P340">
        <w:r>
          <w:rPr>
            <w:color w:val="0000FF"/>
          </w:rPr>
          <w:t>статьи 12</w:t>
        </w:r>
      </w:hyperlink>
      <w:r>
        <w:t xml:space="preserve"> настоящего технического регламента.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9. К производству пищевой масложировой продукции допускается персонал, соответствующий требованиям технических регламентов Таможенного союза.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 xml:space="preserve">10. Производственный контроль организуется в соответствии с требованиями </w:t>
      </w:r>
      <w:hyperlink w:anchor="P345">
        <w:r>
          <w:rPr>
            <w:color w:val="0000FF"/>
          </w:rPr>
          <w:t>статьи 13</w:t>
        </w:r>
      </w:hyperlink>
      <w:r>
        <w:t xml:space="preserve"> настоящего технического регламента.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Title"/>
        <w:ind w:firstLine="540"/>
        <w:jc w:val="both"/>
        <w:outlineLvl w:val="2"/>
      </w:pPr>
      <w:bookmarkStart w:id="7" w:name="P329"/>
      <w:bookmarkEnd w:id="7"/>
      <w:r>
        <w:t>Статья 11. Обеспечение безопасности пищевой масложировой продукции в процессе ее производства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  <w:r>
        <w:t>Безопасность пищевой масложировой продукции в процессе ее производства должна быть обеспечена: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1) выбором технологических процессов и режимов их осуществления на всех этапах (участках) производства пищевой масложировой продукции;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2) выбором оптимальной последовательности технологических процессов, исключающей загрязнение производимой пищевой масложировой продукции;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3) контролем за работой технологического оборудования;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4) безопасностью сырья и пищевых добавок, необходимых для производства масложировой продукции;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5) содержанием производственных помещений, технологического оборудования и инвентаря, используемых в процессе производства пищевой масложировой продукции, в состоянии, исключающем загрязнение пищевой масложировой продукции;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lastRenderedPageBreak/>
        <w:t>6) выбором способов и периодичности санитарной обработки, дезинфекции, дезинсекции и дератизации производственных помещений, санитарной обработки и дезинфекции технологического оборудования и инвентаря, используемых в процессе производства пищевой масложировой продукции. Санитарная обработка, дезинфекция, дезинсекция и дератизация должны проводиться с периодичностью, достаточной для исключения риска загрязнения пищевой масложировой продукции. Периодичность санитарной обработки, дезинфекции, дезинсекции и дератизации устанавливается изготовителем;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7) ведением и хранением документации, подтверждающей выполнение требований настоящего технического регламента.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Title"/>
        <w:ind w:firstLine="540"/>
        <w:jc w:val="both"/>
        <w:outlineLvl w:val="2"/>
      </w:pPr>
      <w:bookmarkStart w:id="8" w:name="P340"/>
      <w:bookmarkEnd w:id="8"/>
      <w:r>
        <w:t>Статья 12. Требования к условиям хранения, удаления и уничтожения отходов производства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  <w:r>
        <w:t>1. Отходы, образующиеся в процессе производства пищевой масложировой продукции, должны регулярно удаляться из производственных помещений после завершения технологических операций.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2. Условия хранения, удаления и уничтожения отходов производства должны исключать возможность загрязнения масложировой продукции, возникновения угрозы жизни или здоровью человека.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Title"/>
        <w:ind w:firstLine="540"/>
        <w:jc w:val="both"/>
        <w:outlineLvl w:val="2"/>
      </w:pPr>
      <w:bookmarkStart w:id="9" w:name="P345"/>
      <w:bookmarkEnd w:id="9"/>
      <w:r>
        <w:t>Статья 13. Требования к производственному контролю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  <w:r>
        <w:t>1. Для целей соответствия масложировой продукции требованиям настоящего технического регламента изготовитель масложировой продукции должен разработать программу производственного контроля за соблюдением требований настоящего технического регламента и организовать указанный контроль.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2. Программа производственного контроля за соблюдением требований настоящего технического регламента должна содержать: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1) перечень и значения контролируемых параметров, связанных с соблюдением требований к масложировой продукции, установленных настоящим техническим регламентом;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2) данные о мероприятиях по производственному контролю и об их периодичности;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3) перечень и значения контролируемых параметров безопасности сырья и пищевых добавок, упаковочных материалов, готовой продукции.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3. Программа производственного контроля за соблюдением требований настоящего технического регламента утверждается руководителем организации, производящей масложировую продукцию, или уполномоченным в установленном порядке лицом.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Title"/>
        <w:ind w:firstLine="540"/>
        <w:jc w:val="both"/>
        <w:outlineLvl w:val="2"/>
      </w:pPr>
      <w:r>
        <w:t>Статья 14. Требования к процессу хранения пищевой масложировой продукции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  <w:r>
        <w:t>1. Условия хранения пищевой масложировой продукции должны обеспечивать ее сохранность и безопасность в течение срока годности в соответствии с требованиями настоящего технического регламента.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2. Сроки годности и условия хранения пищевой масложировой продукции устанавливаются изготовителем с учетом того, чтобы в процессе хранения пищевая масложировая продукция соответствовала требованиям настоящего технического регламента в течение срока годности.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3. Не допускается хранение пищевой масложировой продукции вместе с иной продукцией, если это может привести к загрязнению пищевой масложировой продукции.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4. Конструкция зданий и помещений для хранения пищевой масложировой продукции должны обеспечивать условия хранения масложировой продукции, установленные изготовителями.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5. Помещения для хранения пищевой масложировой продукции с регламентированными условиями хранения и установленное в них оборудование должны быть оснащены измерительными приборами для контроля условий хранения.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lastRenderedPageBreak/>
        <w:t>6. Пищевая масложировая продукция, находящаяся на хранении, должна сопровождаться товаросопроводительными документами и документами, подтверждающими ее безопасность.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7. В помещениях для хранения пищевой масложировой продукции, в том числе холодильных камерах, должны регулярно проводиться санитарная обработка, дезинфекция, дезинсекция и дератизация.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Title"/>
        <w:ind w:firstLine="540"/>
        <w:jc w:val="both"/>
        <w:outlineLvl w:val="2"/>
      </w:pPr>
      <w:r>
        <w:t>Статья 15. Требования к процессу перевозки пищевой масложировой продукции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  <w:r>
        <w:t>1. Перевозка пищевой масложировой продукции должна обеспечивать ее сохранность и безопасность в течение срока годности в соответствии с требованиями настоящего технического регламента.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2. Перевозка пищевой масложировой продукции осуществляется пригодными для этой цели транспортными средствами. Условия перевозки определяет грузоотправитель. Они должны соответствовать условиям, установленным изготовителем для перевозки пищевой масложировой продукции.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3. Не допускается перевозка пищевой масложировой продукции вместе с иной продукцией, если это может привести к загрязнению пищевой масложировой продукции.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4. Конструкция грузовых отделений транспортных средств должна обеспечивать защиту пищевой масложировой продукции от загрязнения.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5. Внутренняя поверхность грузовых отделений транспортных средств должна быть выполнена из моющихся и нетоксичных материалов. Периодичность санитарной обработки и дезинфекции внутренних поверхностей грузовых отделений транспортных средств устанавливается участником хозяйственной деятельности в сфере перевозки пищевой масложировой продукции. Вода, используемая для мойки грузовых отделений транспортных средств, должна соответствовать требованиям к питьевой воде, установленным соответствующим техническим регламентом.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6. Перевозимая пищевая масложировая продукция должна сопровождаться товаросопроводительными документами.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Title"/>
        <w:ind w:firstLine="540"/>
        <w:jc w:val="both"/>
        <w:outlineLvl w:val="2"/>
      </w:pPr>
      <w:r>
        <w:t>Статья 16. Требования к процессам хранения и перевозки непищевой масложировой продукции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  <w:r>
        <w:t>1. Хранение и перевозка непищевой масложировой продукции должны обеспечивать ее безопасность в течение срока хранения в соответствии с требованиями настоящего технического регламента.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2. Условия хранения и сроки хранения непищевой масложировой продукции устанавливает изготовитель.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Title"/>
        <w:ind w:firstLine="540"/>
        <w:jc w:val="both"/>
        <w:outlineLvl w:val="2"/>
      </w:pPr>
      <w:r>
        <w:t>Статья 17. Требования к процессам реализации масложировой продукции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  <w:r>
        <w:t>В ходе реализации масложировой продукции должна быть обеспечена ее безопасность в течение срока годности - для пищевой масложировой продукции, срока хранения - для непищевой масложировой продукции, в соответствии с требованиями настоящего технического регламента.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Title"/>
        <w:ind w:firstLine="540"/>
        <w:jc w:val="both"/>
        <w:outlineLvl w:val="1"/>
      </w:pPr>
      <w:bookmarkStart w:id="10" w:name="P382"/>
      <w:bookmarkEnd w:id="10"/>
      <w:r>
        <w:t>Глава 6. Подтверждение соответствия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Title"/>
        <w:ind w:firstLine="540"/>
        <w:jc w:val="both"/>
        <w:outlineLvl w:val="2"/>
      </w:pPr>
      <w:r>
        <w:t>Статья 18. Формы оценки соответствия объектов технического регулирования требованиям настоящего технического регламента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  <w:r>
        <w:t>1. Оценка соответствия масложировой продукции требованиям настоящего технического регламента (далее - оценка соответствия) осуществляется в формах: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1) подтверждения (декларирования) соответствия масложировой продукции;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2) государственного контроля (надзора);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3) государственной регистрации масложировой продукции нового вида.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lastRenderedPageBreak/>
        <w:t>2. Оценка соответствия масложировой продукции непромышленного изготовления, предназначенной для выпуска в обращение, а также процессов реализации указанной продукции осуществляется в форме государственного контроля (надзора) за соблюдением требований к масложировой продукции, установленных настоящим техническим регламентом и другими техническими регламентами Таможенного союза, действие которых на нее распространяется.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3. Оценка соответствия процессов производства, хранения, перевозки и реализации масложировой продукции требованиям настоящего технического регламента осуществляется в форме государственного контроля (надзора) за соблюдением требований к масложировой продукции, установленных настоящим техническим регламентом и другими техническими регламентами Таможенного союза, действие которых на нее распространяется.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 xml:space="preserve">4. Оценка соответствия масложировой продукции нового вида осуществляется в форме государственной регистрации, установленной техническим </w:t>
      </w:r>
      <w:hyperlink r:id="rId19">
        <w:r>
          <w:rPr>
            <w:color w:val="0000FF"/>
          </w:rPr>
          <w:t>регламентом</w:t>
        </w:r>
      </w:hyperlink>
      <w:r>
        <w:t xml:space="preserve"> Таможенного союза "О безопасности пищевой продукции".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Title"/>
        <w:ind w:firstLine="540"/>
        <w:jc w:val="both"/>
        <w:outlineLvl w:val="2"/>
      </w:pPr>
      <w:r>
        <w:t>Статья 19. Заявитель при оценке соответствия масложировой продукции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  <w:r>
        <w:t>1. Заявителем при оценке соответствия масложировой продукции могут быть зарегистрированные на территории государства - члена Таможенного союза в соответствии с его законодательством юридическое лицо или физическое лицо в качестве индивидуального предпринимателя, являющиеся изготовителем или продавцом либо уполномоченным изготовителем лицом.</w:t>
      </w:r>
    </w:p>
    <w:p w:rsidR="00E45ACA" w:rsidRDefault="00E45ACA">
      <w:pPr>
        <w:pStyle w:val="ConsPlusNormal"/>
        <w:jc w:val="both"/>
      </w:pPr>
      <w:r>
        <w:t xml:space="preserve">(п. 1 в ред. </w:t>
      </w:r>
      <w:hyperlink r:id="rId20">
        <w:r>
          <w:rPr>
            <w:color w:val="0000FF"/>
          </w:rPr>
          <w:t>решения</w:t>
        </w:r>
      </w:hyperlink>
      <w:r>
        <w:t xml:space="preserve"> Совета Евразийской экономической комиссии от 23.04.2015 N 39)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2. Заявитель обязан обеспечивать соответствие масложировой продукции требованиям, установленным настоящим техническим регламентом и другими техническими регламентами Таможенного союза, действие которых на нее распространяется.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 xml:space="preserve">3. Утратил силу. - </w:t>
      </w:r>
      <w:hyperlink r:id="rId21">
        <w:r>
          <w:rPr>
            <w:color w:val="0000FF"/>
          </w:rPr>
          <w:t>Решение</w:t>
        </w:r>
      </w:hyperlink>
      <w:r>
        <w:t xml:space="preserve"> Совета Евразийской экономической комиссии от 23.04.2015 N 39.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Title"/>
        <w:ind w:firstLine="540"/>
        <w:jc w:val="both"/>
        <w:outlineLvl w:val="2"/>
      </w:pPr>
      <w:r>
        <w:t>Статья 20. Декларирование соответствия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  <w:r>
        <w:t>1. Декларированию соответствия подлежит выпускаемая в обращение на таможенной территории Таможенного союза масложировая продукция.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2. Декларирование соответствия масложировой продукции требованиям настоящего технического регламента осуществляется путем принятия по выбору заявителя декларации о соответствии на основании собственных доказательств и (или) на основании доказательств, полученных с участием органа по сертификации и (или) аккредитованной лаборатории (центра) (далее - третья сторона), включенными в Единый реестр органов по сертификации и испытательных лабораторий (центров) Таможенного союза.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 xml:space="preserve">3. Декларирование соответствия масложировой продукции осуществляется по одной из схем </w:t>
      </w:r>
      <w:hyperlink r:id="rId22">
        <w:r>
          <w:rPr>
            <w:color w:val="0000FF"/>
          </w:rPr>
          <w:t>декларирования 1Д</w:t>
        </w:r>
      </w:hyperlink>
      <w:r>
        <w:t xml:space="preserve">, </w:t>
      </w:r>
      <w:hyperlink r:id="rId23">
        <w:r>
          <w:rPr>
            <w:color w:val="0000FF"/>
          </w:rPr>
          <w:t>2Д</w:t>
        </w:r>
      </w:hyperlink>
      <w:r>
        <w:t xml:space="preserve">, </w:t>
      </w:r>
      <w:hyperlink r:id="rId24">
        <w:r>
          <w:rPr>
            <w:color w:val="0000FF"/>
          </w:rPr>
          <w:t>3Д</w:t>
        </w:r>
      </w:hyperlink>
      <w:r>
        <w:t xml:space="preserve">, </w:t>
      </w:r>
      <w:hyperlink r:id="rId25">
        <w:r>
          <w:rPr>
            <w:color w:val="0000FF"/>
          </w:rPr>
          <w:t>4Д</w:t>
        </w:r>
      </w:hyperlink>
      <w:r>
        <w:t xml:space="preserve">, </w:t>
      </w:r>
      <w:hyperlink r:id="rId26">
        <w:r>
          <w:rPr>
            <w:color w:val="0000FF"/>
          </w:rPr>
          <w:t>6Д</w:t>
        </w:r>
      </w:hyperlink>
      <w:r>
        <w:t xml:space="preserve">, установленных законодательством Таможенного союза, по выбору заявителя согласно </w:t>
      </w:r>
      <w:hyperlink r:id="rId27">
        <w:r>
          <w:rPr>
            <w:color w:val="0000FF"/>
          </w:rPr>
          <w:t>Положению</w:t>
        </w:r>
      </w:hyperlink>
      <w:r>
        <w:t xml:space="preserve"> о порядке применения типовых схем оценки (подтверждения) соответствия требованиям технических регламентов Таможенного союза, утвержденному Решением Комиссии Таможенного союза от 7 апреля 2011 года N 621.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4. Если при производстве пищевой масложировой продукции использовалось сырье животного происхождения, на которое имеются документы, подтверждающие его безопасность (в том числе ветеринарные свидетельства), то при отгрузке и реализации такой продукции оформление ветеринарных свидетельств на нее не требуется.</w:t>
      </w:r>
    </w:p>
    <w:p w:rsidR="00E45ACA" w:rsidRDefault="00E45AC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45AC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5ACA" w:rsidRDefault="00E45AC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5ACA" w:rsidRDefault="00E45AC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5ACA" w:rsidRDefault="00E45AC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45ACA" w:rsidRDefault="00E45ACA">
            <w:pPr>
              <w:pStyle w:val="ConsPlusNormal"/>
              <w:jc w:val="both"/>
            </w:pPr>
            <w:r>
              <w:rPr>
                <w:color w:val="392C69"/>
              </w:rPr>
              <w:t>Срок действия документов об оценке соответствия обязательным требованиям, истекающий с 14.03.2022 до 01.09.2022, продлевается на 12 месяцев (</w:t>
            </w:r>
            <w:hyperlink r:id="rId28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12.03.2022 N 353).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5ACA" w:rsidRDefault="00E45ACA">
            <w:pPr>
              <w:pStyle w:val="ConsPlusNormal"/>
            </w:pPr>
          </w:p>
        </w:tc>
      </w:tr>
    </w:tbl>
    <w:p w:rsidR="00E45ACA" w:rsidRDefault="00E45ACA">
      <w:pPr>
        <w:pStyle w:val="ConsPlusNormal"/>
        <w:spacing w:before="260"/>
        <w:ind w:firstLine="540"/>
        <w:jc w:val="both"/>
      </w:pPr>
      <w:r>
        <w:t xml:space="preserve">5. Срок действия декларации устанавливается заявителем в соответствии с положениями технического </w:t>
      </w:r>
      <w:hyperlink r:id="rId29">
        <w:r>
          <w:rPr>
            <w:color w:val="0000FF"/>
          </w:rPr>
          <w:t>регламента</w:t>
        </w:r>
      </w:hyperlink>
      <w:r>
        <w:t xml:space="preserve"> Таможенного союза "О безопасности пищевой продукции" и не должен превышать пяти лет.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lastRenderedPageBreak/>
        <w:t>6. При изменении обязательных требований к масложировой продукции доказательственные материалы должны быть изменены в части подтверждения соответствия таким требованиям. При этом принятие новой декларации о соответствии не требуется.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7. Государства - члены Таможенного союза ведут учет принятых деклараций о соответствии.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Title"/>
        <w:ind w:firstLine="540"/>
        <w:jc w:val="both"/>
        <w:outlineLvl w:val="1"/>
      </w:pPr>
      <w:r>
        <w:t xml:space="preserve">Глава 7. </w:t>
      </w:r>
      <w:hyperlink r:id="rId30">
        <w:r>
          <w:rPr>
            <w:color w:val="0000FF"/>
          </w:rPr>
          <w:t>Маркировка</w:t>
        </w:r>
      </w:hyperlink>
      <w:r>
        <w:t xml:space="preserve"> единым знаком обращения продукции на рынке государств - членов Таможенного союза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  <w:r>
        <w:t xml:space="preserve">1. Масложировая продукция, соответствующая требованиям настоящего технического регламента Таможенного союза и прошедшая процедуру оценки (подтверждения) соответствия согласно </w:t>
      </w:r>
      <w:hyperlink w:anchor="P382">
        <w:r>
          <w:rPr>
            <w:color w:val="0000FF"/>
          </w:rPr>
          <w:t>Главе 6</w:t>
        </w:r>
      </w:hyperlink>
      <w:r>
        <w:t xml:space="preserve"> настоящего технического регламента Таможенного союза, должна иметь маркировку единым знаком обращения продукции на рынке государств - членов Таможенного союза.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2. Маркировка единым знаком обращения продукции на рынке государств - членов Таможенного союза осуществляется перед выпуском масложировой продукции в обращение на рынке.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3. Единый знак обращения продукции на рынке государств - членов Таможенного союза наносится на упаковку и прилагаемую к продукции сопроводительную документацию.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Единый знак обращения продукции на рынке государств - членов Таможенного союза наносится любым способом, обеспечивающим четкое и ясное изображение в течение всего срока годности масложировой продукции.</w:t>
      </w:r>
    </w:p>
    <w:p w:rsidR="00E45ACA" w:rsidRDefault="00E45ACA">
      <w:pPr>
        <w:pStyle w:val="ConsPlusNormal"/>
        <w:spacing w:before="200"/>
        <w:ind w:firstLine="540"/>
        <w:jc w:val="both"/>
      </w:pPr>
      <w:r>
        <w:t>4. Маркировка масложировой продукции единым знаком обращения продукции на рынке государств - членов Таможенного союза свидетельствует о ее соответствии требованиям всех технических регламентов Таможенного союза, распространяющихся на нее.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Title"/>
        <w:ind w:firstLine="540"/>
        <w:jc w:val="both"/>
        <w:outlineLvl w:val="2"/>
      </w:pPr>
      <w:r>
        <w:t>Статья 21. Государственный контроль (надзор)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  <w:r>
        <w:t>Государственный контроль (надзор) за соответствием масложировой продукции, процессов ее производства, хранения, перевозки и реализации требованиям настоящего технического регламента проводится в соответствии с законодательством государств - членов Таможенного союза.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jc w:val="right"/>
        <w:outlineLvl w:val="1"/>
      </w:pPr>
      <w:r>
        <w:t>Приложение 1</w:t>
      </w:r>
    </w:p>
    <w:p w:rsidR="00E45ACA" w:rsidRDefault="00E45ACA">
      <w:pPr>
        <w:pStyle w:val="ConsPlusNormal"/>
        <w:jc w:val="right"/>
      </w:pPr>
      <w:r>
        <w:t>к техническому регламенту</w:t>
      </w:r>
    </w:p>
    <w:p w:rsidR="00E45ACA" w:rsidRDefault="00E45ACA">
      <w:pPr>
        <w:pStyle w:val="ConsPlusNormal"/>
        <w:jc w:val="right"/>
      </w:pPr>
      <w:r>
        <w:t>"Технический регламент</w:t>
      </w:r>
    </w:p>
    <w:p w:rsidR="00E45ACA" w:rsidRDefault="00E45ACA">
      <w:pPr>
        <w:pStyle w:val="ConsPlusNormal"/>
        <w:jc w:val="right"/>
      </w:pPr>
      <w:r>
        <w:t>на масложировую продукцию"</w:t>
      </w:r>
    </w:p>
    <w:p w:rsidR="00E45ACA" w:rsidRDefault="00E45ACA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45AC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5ACA" w:rsidRDefault="00E45AC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5ACA" w:rsidRDefault="00E45AC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5ACA" w:rsidRDefault="00E45AC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45ACA" w:rsidRDefault="00E45ACA">
            <w:pPr>
              <w:pStyle w:val="ConsPlusNormal"/>
              <w:jc w:val="both"/>
            </w:pPr>
            <w:r>
              <w:rPr>
                <w:color w:val="392C69"/>
              </w:rPr>
              <w:t xml:space="preserve">Требование Приложения 1 настоящего Технического регламента по показателю безопасности "бенз(а)пирен" </w:t>
            </w:r>
            <w:hyperlink w:anchor="P2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1 января 2014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5ACA" w:rsidRDefault="00E45ACA">
            <w:pPr>
              <w:pStyle w:val="ConsPlusNormal"/>
            </w:pPr>
          </w:p>
        </w:tc>
      </w:tr>
    </w:tbl>
    <w:p w:rsidR="00E45ACA" w:rsidRDefault="00E45ACA">
      <w:pPr>
        <w:pStyle w:val="ConsPlusTitle"/>
        <w:spacing w:before="260"/>
        <w:jc w:val="center"/>
      </w:pPr>
      <w:bookmarkStart w:id="11" w:name="P436"/>
      <w:bookmarkEnd w:id="11"/>
      <w:r>
        <w:t>ТРЕБОВАНИЯ</w:t>
      </w:r>
    </w:p>
    <w:p w:rsidR="00E45ACA" w:rsidRDefault="00E45ACA">
      <w:pPr>
        <w:pStyle w:val="ConsPlusTitle"/>
        <w:jc w:val="center"/>
      </w:pPr>
      <w:r>
        <w:t>К ДОПУСТИМЫМ УРОВНЯМ ПОКАЗАТЕЛЕЙ БЕЗОПАСНОСТИ ПИЩЕВОЙ</w:t>
      </w:r>
    </w:p>
    <w:p w:rsidR="00E45ACA" w:rsidRDefault="00E45ACA">
      <w:pPr>
        <w:pStyle w:val="ConsPlusTitle"/>
        <w:jc w:val="center"/>
      </w:pPr>
      <w:r>
        <w:t>МАСЛОЖИРОВОЙ ПРОДУКЦИИ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sectPr w:rsidR="00E45ACA" w:rsidSect="00E47A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2970"/>
        <w:gridCol w:w="2475"/>
        <w:gridCol w:w="3630"/>
      </w:tblGrid>
      <w:tr w:rsidR="00E45ACA">
        <w:tc>
          <w:tcPr>
            <w:tcW w:w="3135" w:type="dxa"/>
          </w:tcPr>
          <w:p w:rsidR="00E45ACA" w:rsidRDefault="00E45ACA">
            <w:pPr>
              <w:pStyle w:val="ConsPlusNormal"/>
              <w:jc w:val="center"/>
            </w:pPr>
            <w:r>
              <w:lastRenderedPageBreak/>
              <w:t>Группа продуктов</w:t>
            </w:r>
          </w:p>
        </w:tc>
        <w:tc>
          <w:tcPr>
            <w:tcW w:w="2970" w:type="dxa"/>
          </w:tcPr>
          <w:p w:rsidR="00E45ACA" w:rsidRDefault="00E45ACA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2475" w:type="dxa"/>
          </w:tcPr>
          <w:p w:rsidR="00E45ACA" w:rsidRDefault="00E45ACA">
            <w:pPr>
              <w:pStyle w:val="ConsPlusNormal"/>
              <w:jc w:val="center"/>
            </w:pPr>
            <w:r>
              <w:t>Допустимые уровни, не более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E45ACA">
        <w:tc>
          <w:tcPr>
            <w:tcW w:w="3135" w:type="dxa"/>
            <w:vMerge w:val="restart"/>
          </w:tcPr>
          <w:p w:rsidR="00E45ACA" w:rsidRDefault="00E45ACA">
            <w:pPr>
              <w:pStyle w:val="ConsPlusNormal"/>
            </w:pPr>
            <w:r>
              <w:t>Масла растительные - все виды,</w:t>
            </w:r>
          </w:p>
          <w:p w:rsidR="00E45ACA" w:rsidRDefault="00E45ACA">
            <w:pPr>
              <w:pStyle w:val="ConsPlusNormal"/>
            </w:pPr>
            <w:r>
              <w:t>фракции масел растительных</w:t>
            </w:r>
          </w:p>
        </w:tc>
        <w:tc>
          <w:tcPr>
            <w:tcW w:w="2970" w:type="dxa"/>
          </w:tcPr>
          <w:p w:rsidR="00E45ACA" w:rsidRDefault="00E45ACA">
            <w:pPr>
              <w:pStyle w:val="ConsPlusNormal"/>
              <w:jc w:val="center"/>
            </w:pPr>
            <w:r>
              <w:t>Бенз(а)пирен</w:t>
            </w:r>
          </w:p>
        </w:tc>
        <w:tc>
          <w:tcPr>
            <w:tcW w:w="2475" w:type="dxa"/>
          </w:tcPr>
          <w:p w:rsidR="00E45ACA" w:rsidRDefault="00E45ACA">
            <w:pPr>
              <w:pStyle w:val="ConsPlusNormal"/>
              <w:jc w:val="center"/>
            </w:pPr>
            <w:r>
              <w:t>0,002 мг /кг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both"/>
            </w:pPr>
          </w:p>
        </w:tc>
      </w:tr>
      <w:tr w:rsidR="00E45ACA">
        <w:tc>
          <w:tcPr>
            <w:tcW w:w="3135" w:type="dxa"/>
            <w:vMerge/>
          </w:tcPr>
          <w:p w:rsidR="00E45ACA" w:rsidRDefault="00E45ACA">
            <w:pPr>
              <w:pStyle w:val="ConsPlusNormal"/>
            </w:pPr>
          </w:p>
        </w:tc>
        <w:tc>
          <w:tcPr>
            <w:tcW w:w="2970" w:type="dxa"/>
            <w:vMerge w:val="restart"/>
          </w:tcPr>
          <w:p w:rsidR="00E45ACA" w:rsidRDefault="00E45ACA">
            <w:pPr>
              <w:pStyle w:val="ConsPlusNormal"/>
              <w:jc w:val="center"/>
            </w:pPr>
            <w:r>
              <w:t>Содержание</w:t>
            </w:r>
          </w:p>
          <w:p w:rsidR="00E45ACA" w:rsidRDefault="00E45ACA">
            <w:pPr>
              <w:pStyle w:val="ConsPlusNormal"/>
              <w:jc w:val="center"/>
            </w:pPr>
            <w:r>
              <w:t>эруковой кислоты</w:t>
            </w:r>
          </w:p>
        </w:tc>
        <w:tc>
          <w:tcPr>
            <w:tcW w:w="2475" w:type="dxa"/>
          </w:tcPr>
          <w:p w:rsidR="00E45ACA" w:rsidRDefault="00E45ACA">
            <w:pPr>
              <w:pStyle w:val="ConsPlusNormal"/>
              <w:jc w:val="center"/>
            </w:pPr>
            <w:r>
              <w:t>3 процента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</w:pPr>
            <w:r>
              <w:t>Для рапсового масла</w:t>
            </w:r>
          </w:p>
        </w:tc>
      </w:tr>
      <w:tr w:rsidR="00E45ACA">
        <w:tc>
          <w:tcPr>
            <w:tcW w:w="3135" w:type="dxa"/>
            <w:vMerge/>
          </w:tcPr>
          <w:p w:rsidR="00E45ACA" w:rsidRDefault="00E45ACA">
            <w:pPr>
              <w:pStyle w:val="ConsPlusNormal"/>
            </w:pPr>
          </w:p>
        </w:tc>
        <w:tc>
          <w:tcPr>
            <w:tcW w:w="2970" w:type="dxa"/>
            <w:vMerge/>
          </w:tcPr>
          <w:p w:rsidR="00E45ACA" w:rsidRDefault="00E45ACA">
            <w:pPr>
              <w:pStyle w:val="ConsPlusNormal"/>
            </w:pPr>
          </w:p>
        </w:tc>
        <w:tc>
          <w:tcPr>
            <w:tcW w:w="2475" w:type="dxa"/>
          </w:tcPr>
          <w:p w:rsidR="00E45ACA" w:rsidRDefault="00E45ACA">
            <w:pPr>
              <w:pStyle w:val="ConsPlusNormal"/>
              <w:jc w:val="center"/>
            </w:pPr>
            <w:r>
              <w:t>5 процентов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</w:pPr>
            <w:r>
              <w:t>Для масел растительных из семян других крестоцветных</w:t>
            </w:r>
          </w:p>
        </w:tc>
      </w:tr>
      <w:tr w:rsidR="00E45ACA">
        <w:tc>
          <w:tcPr>
            <w:tcW w:w="3135" w:type="dxa"/>
            <w:vMerge/>
          </w:tcPr>
          <w:p w:rsidR="00E45ACA" w:rsidRDefault="00E45ACA">
            <w:pPr>
              <w:pStyle w:val="ConsPlusNormal"/>
            </w:pPr>
          </w:p>
        </w:tc>
        <w:tc>
          <w:tcPr>
            <w:tcW w:w="2970" w:type="dxa"/>
          </w:tcPr>
          <w:p w:rsidR="00E45ACA" w:rsidRDefault="00E45ACA">
            <w:pPr>
              <w:pStyle w:val="ConsPlusNormal"/>
              <w:jc w:val="center"/>
            </w:pPr>
            <w:r>
              <w:t>Содержание синильной</w:t>
            </w:r>
          </w:p>
          <w:p w:rsidR="00E45ACA" w:rsidRDefault="00E45ACA">
            <w:pPr>
              <w:pStyle w:val="ConsPlusNormal"/>
              <w:jc w:val="center"/>
            </w:pPr>
            <w:r>
              <w:t>кислоты</w:t>
            </w:r>
          </w:p>
        </w:tc>
        <w:tc>
          <w:tcPr>
            <w:tcW w:w="2475" w:type="dxa"/>
          </w:tcPr>
          <w:p w:rsidR="00E45ACA" w:rsidRDefault="00E45ACA">
            <w:pPr>
              <w:pStyle w:val="ConsPlusNormal"/>
              <w:jc w:val="center"/>
            </w:pPr>
            <w:r>
              <w:t>Отсутствие</w:t>
            </w:r>
          </w:p>
          <w:p w:rsidR="00E45ACA" w:rsidRDefault="00E45ACA">
            <w:pPr>
              <w:pStyle w:val="ConsPlusNormal"/>
              <w:jc w:val="center"/>
            </w:pPr>
            <w:r>
              <w:t>(качественная</w:t>
            </w:r>
          </w:p>
          <w:p w:rsidR="00E45ACA" w:rsidRDefault="00E45ACA">
            <w:pPr>
              <w:pStyle w:val="ConsPlusNormal"/>
              <w:jc w:val="center"/>
            </w:pPr>
            <w:r>
              <w:t>проба)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</w:pPr>
            <w:r>
              <w:t>Для масел из плодовых косточек</w:t>
            </w:r>
          </w:p>
        </w:tc>
      </w:tr>
      <w:tr w:rsidR="00E45ACA">
        <w:tc>
          <w:tcPr>
            <w:tcW w:w="3135" w:type="dxa"/>
            <w:vMerge/>
          </w:tcPr>
          <w:p w:rsidR="00E45ACA" w:rsidRDefault="00E45ACA">
            <w:pPr>
              <w:pStyle w:val="ConsPlusNormal"/>
            </w:pPr>
          </w:p>
        </w:tc>
        <w:tc>
          <w:tcPr>
            <w:tcW w:w="2970" w:type="dxa"/>
          </w:tcPr>
          <w:p w:rsidR="00E45ACA" w:rsidRDefault="00E45ACA">
            <w:pPr>
              <w:pStyle w:val="ConsPlusNormal"/>
              <w:jc w:val="center"/>
            </w:pPr>
            <w:r>
              <w:t>Показатели окислительной порчи:</w:t>
            </w:r>
          </w:p>
        </w:tc>
        <w:tc>
          <w:tcPr>
            <w:tcW w:w="2475" w:type="dxa"/>
          </w:tcPr>
          <w:p w:rsidR="00E45ACA" w:rsidRDefault="00E45ACA">
            <w:pPr>
              <w:pStyle w:val="ConsPlusNormal"/>
              <w:jc w:val="center"/>
            </w:pP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both"/>
            </w:pPr>
          </w:p>
        </w:tc>
      </w:tr>
      <w:tr w:rsidR="00E45ACA">
        <w:tc>
          <w:tcPr>
            <w:tcW w:w="3135" w:type="dxa"/>
            <w:vMerge/>
          </w:tcPr>
          <w:p w:rsidR="00E45ACA" w:rsidRDefault="00E45ACA">
            <w:pPr>
              <w:pStyle w:val="ConsPlusNormal"/>
            </w:pPr>
          </w:p>
        </w:tc>
        <w:tc>
          <w:tcPr>
            <w:tcW w:w="2970" w:type="dxa"/>
            <w:vMerge w:val="restart"/>
          </w:tcPr>
          <w:p w:rsidR="00E45ACA" w:rsidRDefault="00E45ACA">
            <w:pPr>
              <w:pStyle w:val="ConsPlusNormal"/>
              <w:jc w:val="center"/>
            </w:pPr>
            <w:r>
              <w:t>Кислотное число</w:t>
            </w:r>
          </w:p>
        </w:tc>
        <w:tc>
          <w:tcPr>
            <w:tcW w:w="2475" w:type="dxa"/>
          </w:tcPr>
          <w:p w:rsidR="00E45ACA" w:rsidRDefault="00E45ACA">
            <w:pPr>
              <w:pStyle w:val="ConsPlusNormal"/>
              <w:jc w:val="center"/>
            </w:pPr>
            <w:r>
              <w:t>6,0 мг гидроокиси калия/г</w:t>
            </w:r>
          </w:p>
          <w:p w:rsidR="00E45ACA" w:rsidRDefault="00E45ACA">
            <w:pPr>
              <w:pStyle w:val="ConsPlusNormal"/>
              <w:jc w:val="center"/>
            </w:pPr>
            <w:r>
              <w:t>(мг КОН/г)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</w:pPr>
            <w:r>
              <w:t>Для масла рапсового нерафинированного, используемого в качестве продовольственного пищевого сырья</w:t>
            </w:r>
          </w:p>
        </w:tc>
      </w:tr>
      <w:tr w:rsidR="00E45ACA">
        <w:tc>
          <w:tcPr>
            <w:tcW w:w="3135" w:type="dxa"/>
            <w:vMerge/>
          </w:tcPr>
          <w:p w:rsidR="00E45ACA" w:rsidRDefault="00E45ACA">
            <w:pPr>
              <w:pStyle w:val="ConsPlusNormal"/>
            </w:pPr>
          </w:p>
        </w:tc>
        <w:tc>
          <w:tcPr>
            <w:tcW w:w="2970" w:type="dxa"/>
            <w:vMerge/>
          </w:tcPr>
          <w:p w:rsidR="00E45ACA" w:rsidRDefault="00E45ACA">
            <w:pPr>
              <w:pStyle w:val="ConsPlusNormal"/>
            </w:pPr>
          </w:p>
        </w:tc>
        <w:tc>
          <w:tcPr>
            <w:tcW w:w="2475" w:type="dxa"/>
          </w:tcPr>
          <w:p w:rsidR="00E45ACA" w:rsidRDefault="00E45ACA">
            <w:pPr>
              <w:pStyle w:val="ConsPlusNormal"/>
              <w:jc w:val="center"/>
            </w:pPr>
            <w:r>
              <w:t>4,0 мг гидроокиси калия/г</w:t>
            </w:r>
          </w:p>
          <w:p w:rsidR="00E45ACA" w:rsidRDefault="00E45ACA">
            <w:pPr>
              <w:pStyle w:val="ConsPlusNormal"/>
              <w:jc w:val="center"/>
            </w:pPr>
            <w:r>
              <w:t>(мг КОН/г)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</w:pPr>
            <w:r>
              <w:t>Для нерафинированных масел и их фракций, смесей нерафинированных масел, смесей рафинированных и нерафинированных масел</w:t>
            </w:r>
          </w:p>
        </w:tc>
      </w:tr>
      <w:tr w:rsidR="00E45ACA">
        <w:tc>
          <w:tcPr>
            <w:tcW w:w="3135" w:type="dxa"/>
            <w:vMerge/>
          </w:tcPr>
          <w:p w:rsidR="00E45ACA" w:rsidRDefault="00E45ACA">
            <w:pPr>
              <w:pStyle w:val="ConsPlusNormal"/>
            </w:pPr>
          </w:p>
        </w:tc>
        <w:tc>
          <w:tcPr>
            <w:tcW w:w="2970" w:type="dxa"/>
            <w:vMerge/>
          </w:tcPr>
          <w:p w:rsidR="00E45ACA" w:rsidRDefault="00E45ACA">
            <w:pPr>
              <w:pStyle w:val="ConsPlusNormal"/>
            </w:pPr>
          </w:p>
        </w:tc>
        <w:tc>
          <w:tcPr>
            <w:tcW w:w="2475" w:type="dxa"/>
          </w:tcPr>
          <w:p w:rsidR="00E45ACA" w:rsidRDefault="00E45ACA">
            <w:pPr>
              <w:pStyle w:val="ConsPlusNormal"/>
              <w:jc w:val="center"/>
            </w:pPr>
            <w:r>
              <w:t>0,6 мг гидроокиси калия/г</w:t>
            </w:r>
          </w:p>
          <w:p w:rsidR="00E45ACA" w:rsidRDefault="00E45ACA">
            <w:pPr>
              <w:pStyle w:val="ConsPlusNormal"/>
              <w:jc w:val="center"/>
            </w:pPr>
            <w:r>
              <w:t>(мг КОН/г)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</w:pPr>
            <w:r>
              <w:t>Для рафинированных масел и их фракций, смесей рафинированных масел</w:t>
            </w:r>
          </w:p>
        </w:tc>
      </w:tr>
      <w:tr w:rsidR="00E45ACA">
        <w:tc>
          <w:tcPr>
            <w:tcW w:w="3135" w:type="dxa"/>
            <w:vMerge/>
          </w:tcPr>
          <w:p w:rsidR="00E45ACA" w:rsidRDefault="00E45ACA">
            <w:pPr>
              <w:pStyle w:val="ConsPlusNormal"/>
            </w:pPr>
          </w:p>
        </w:tc>
        <w:tc>
          <w:tcPr>
            <w:tcW w:w="2970" w:type="dxa"/>
            <w:vMerge/>
          </w:tcPr>
          <w:p w:rsidR="00E45ACA" w:rsidRDefault="00E45ACA">
            <w:pPr>
              <w:pStyle w:val="ConsPlusNormal"/>
            </w:pPr>
          </w:p>
        </w:tc>
        <w:tc>
          <w:tcPr>
            <w:tcW w:w="2475" w:type="dxa"/>
          </w:tcPr>
          <w:p w:rsidR="00E45ACA" w:rsidRDefault="00E45ACA">
            <w:pPr>
              <w:pStyle w:val="ConsPlusNormal"/>
              <w:jc w:val="center"/>
            </w:pPr>
            <w:r>
              <w:t>Перекисное число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</w:pPr>
            <w:r>
              <w:t>10,0 мэкв/кг</w:t>
            </w:r>
          </w:p>
        </w:tc>
      </w:tr>
      <w:tr w:rsidR="00E45ACA">
        <w:tc>
          <w:tcPr>
            <w:tcW w:w="3135" w:type="dxa"/>
            <w:vMerge w:val="restart"/>
          </w:tcPr>
          <w:p w:rsidR="00E45ACA" w:rsidRDefault="00E45ACA">
            <w:pPr>
              <w:pStyle w:val="ConsPlusNormal"/>
            </w:pPr>
            <w:r>
              <w:t>Продукты переработки растительных масел и животных жиров, включая жиры рыб:</w:t>
            </w:r>
          </w:p>
          <w:p w:rsidR="00E45ACA" w:rsidRDefault="00E45ACA">
            <w:pPr>
              <w:pStyle w:val="ConsPlusNormal"/>
            </w:pPr>
            <w:r>
              <w:t xml:space="preserve">1. Масла (жиры) переэтерифицированные </w:t>
            </w:r>
            <w:r>
              <w:lastRenderedPageBreak/>
              <w:t>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эквиваленты масла какао, улучшители масла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2970" w:type="dxa"/>
            <w:vMerge w:val="restart"/>
          </w:tcPr>
          <w:p w:rsidR="00E45ACA" w:rsidRDefault="00E45ACA">
            <w:pPr>
              <w:pStyle w:val="ConsPlusNormal"/>
              <w:jc w:val="center"/>
            </w:pPr>
            <w:r>
              <w:lastRenderedPageBreak/>
              <w:t>Транс-изомеры жирных кислот</w:t>
            </w:r>
          </w:p>
        </w:tc>
        <w:tc>
          <w:tcPr>
            <w:tcW w:w="2475" w:type="dxa"/>
          </w:tcPr>
          <w:p w:rsidR="00E45ACA" w:rsidRDefault="00E45ACA">
            <w:pPr>
              <w:pStyle w:val="ConsPlusNormal"/>
              <w:jc w:val="center"/>
            </w:pPr>
            <w:r>
              <w:t>2,0 процента</w:t>
            </w:r>
          </w:p>
          <w:p w:rsidR="00E45ACA" w:rsidRDefault="00E45ACA">
            <w:pPr>
              <w:pStyle w:val="ConsPlusNormal"/>
              <w:jc w:val="center"/>
            </w:pPr>
            <w:r>
              <w:t>от содержания</w:t>
            </w:r>
          </w:p>
          <w:p w:rsidR="00E45ACA" w:rsidRDefault="00E45ACA">
            <w:pPr>
              <w:pStyle w:val="ConsPlusNormal"/>
              <w:jc w:val="center"/>
            </w:pPr>
            <w:r>
              <w:t>жира</w:t>
            </w:r>
          </w:p>
          <w:p w:rsidR="00E45ACA" w:rsidRDefault="00E45ACA">
            <w:pPr>
              <w:pStyle w:val="ConsPlusNormal"/>
              <w:jc w:val="center"/>
            </w:pPr>
            <w:r>
              <w:t>в продукте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</w:pPr>
            <w:r>
              <w:t>Для эквивалентов масла какао, улучшителей масла какао SOS-типа, заменителей масла</w:t>
            </w:r>
          </w:p>
          <w:p w:rsidR="00E45ACA" w:rsidRDefault="00E45ACA">
            <w:pPr>
              <w:pStyle w:val="ConsPlusNormal"/>
            </w:pPr>
            <w:r>
              <w:t>какао POP-типа</w:t>
            </w:r>
          </w:p>
        </w:tc>
      </w:tr>
      <w:tr w:rsidR="00E45ACA">
        <w:tc>
          <w:tcPr>
            <w:tcW w:w="3135" w:type="dxa"/>
            <w:vMerge/>
          </w:tcPr>
          <w:p w:rsidR="00E45ACA" w:rsidRDefault="00E45ACA">
            <w:pPr>
              <w:pStyle w:val="ConsPlusNormal"/>
            </w:pPr>
          </w:p>
        </w:tc>
        <w:tc>
          <w:tcPr>
            <w:tcW w:w="2970" w:type="dxa"/>
            <w:vMerge/>
          </w:tcPr>
          <w:p w:rsidR="00E45ACA" w:rsidRDefault="00E45ACA">
            <w:pPr>
              <w:pStyle w:val="ConsPlusNormal"/>
            </w:pPr>
          </w:p>
        </w:tc>
        <w:tc>
          <w:tcPr>
            <w:tcW w:w="2475" w:type="dxa"/>
          </w:tcPr>
          <w:p w:rsidR="00E45ACA" w:rsidRDefault="00E45ACA">
            <w:pPr>
              <w:pStyle w:val="ConsPlusNormal"/>
              <w:jc w:val="center"/>
            </w:pPr>
            <w:r>
              <w:t>20,0 процента</w:t>
            </w:r>
          </w:p>
          <w:p w:rsidR="00E45ACA" w:rsidRDefault="00E45ACA">
            <w:pPr>
              <w:pStyle w:val="ConsPlusNormal"/>
              <w:jc w:val="center"/>
            </w:pPr>
            <w:r>
              <w:t>от содержания</w:t>
            </w:r>
          </w:p>
          <w:p w:rsidR="00E45ACA" w:rsidRDefault="00E45ACA">
            <w:pPr>
              <w:pStyle w:val="ConsPlusNormal"/>
              <w:jc w:val="center"/>
            </w:pPr>
            <w:r>
              <w:lastRenderedPageBreak/>
              <w:t>жира в продукте (с 01.01.2015) 2,0 процента</w:t>
            </w:r>
          </w:p>
          <w:p w:rsidR="00E45ACA" w:rsidRDefault="00E45ACA">
            <w:pPr>
              <w:pStyle w:val="ConsPlusNormal"/>
              <w:jc w:val="center"/>
            </w:pPr>
            <w:r>
              <w:t>от содержания</w:t>
            </w:r>
          </w:p>
          <w:p w:rsidR="00E45ACA" w:rsidRDefault="00E45ACA">
            <w:pPr>
              <w:pStyle w:val="ConsPlusNormal"/>
              <w:jc w:val="center"/>
            </w:pPr>
            <w:r>
              <w:t>жира в продукте (с 01.01.2018)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</w:pPr>
            <w:r>
              <w:lastRenderedPageBreak/>
              <w:t>Для твердых маргаринов</w:t>
            </w:r>
          </w:p>
        </w:tc>
      </w:tr>
      <w:tr w:rsidR="00E45ACA">
        <w:tc>
          <w:tcPr>
            <w:tcW w:w="3135" w:type="dxa"/>
            <w:vMerge/>
          </w:tcPr>
          <w:p w:rsidR="00E45ACA" w:rsidRDefault="00E45ACA">
            <w:pPr>
              <w:pStyle w:val="ConsPlusNormal"/>
            </w:pPr>
          </w:p>
        </w:tc>
        <w:tc>
          <w:tcPr>
            <w:tcW w:w="2970" w:type="dxa"/>
            <w:vMerge/>
          </w:tcPr>
          <w:p w:rsidR="00E45ACA" w:rsidRDefault="00E45ACA">
            <w:pPr>
              <w:pStyle w:val="ConsPlusNormal"/>
            </w:pPr>
          </w:p>
        </w:tc>
        <w:tc>
          <w:tcPr>
            <w:tcW w:w="2475" w:type="dxa"/>
          </w:tcPr>
          <w:p w:rsidR="00E45ACA" w:rsidRDefault="00E45ACA">
            <w:pPr>
              <w:pStyle w:val="ConsPlusNormal"/>
              <w:jc w:val="center"/>
            </w:pPr>
            <w:r>
              <w:t>8,0 процента</w:t>
            </w:r>
          </w:p>
          <w:p w:rsidR="00E45ACA" w:rsidRDefault="00E45ACA">
            <w:pPr>
              <w:pStyle w:val="ConsPlusNormal"/>
              <w:jc w:val="center"/>
            </w:pPr>
            <w:r>
              <w:t>от содержания</w:t>
            </w:r>
          </w:p>
          <w:p w:rsidR="00E45ACA" w:rsidRDefault="00E45ACA">
            <w:pPr>
              <w:pStyle w:val="ConsPlusNormal"/>
              <w:jc w:val="center"/>
            </w:pPr>
            <w:r>
              <w:t>жира в продукте</w:t>
            </w:r>
          </w:p>
          <w:p w:rsidR="00E45ACA" w:rsidRDefault="00E45ACA">
            <w:pPr>
              <w:pStyle w:val="ConsPlusNormal"/>
              <w:jc w:val="center"/>
            </w:pPr>
            <w:r>
              <w:t>2,0 процента</w:t>
            </w:r>
          </w:p>
          <w:p w:rsidR="00E45ACA" w:rsidRDefault="00E45ACA">
            <w:pPr>
              <w:pStyle w:val="ConsPlusNormal"/>
              <w:jc w:val="center"/>
            </w:pPr>
            <w:r>
              <w:t>от содержания</w:t>
            </w:r>
          </w:p>
          <w:p w:rsidR="00E45ACA" w:rsidRDefault="00E45ACA">
            <w:pPr>
              <w:pStyle w:val="ConsPlusNormal"/>
              <w:jc w:val="center"/>
            </w:pPr>
            <w:r>
              <w:t>жира в продукте (с 01.01.2018)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</w:pPr>
            <w:r>
              <w:t>Для заменителей молочного жира, мягких и жидких маргаринов</w:t>
            </w:r>
          </w:p>
        </w:tc>
      </w:tr>
      <w:tr w:rsidR="00E45ACA">
        <w:tc>
          <w:tcPr>
            <w:tcW w:w="3135" w:type="dxa"/>
            <w:vMerge/>
          </w:tcPr>
          <w:p w:rsidR="00E45ACA" w:rsidRDefault="00E45ACA">
            <w:pPr>
              <w:pStyle w:val="ConsPlusNormal"/>
            </w:pPr>
          </w:p>
        </w:tc>
        <w:tc>
          <w:tcPr>
            <w:tcW w:w="2970" w:type="dxa"/>
            <w:vMerge/>
          </w:tcPr>
          <w:p w:rsidR="00E45ACA" w:rsidRDefault="00E45ACA">
            <w:pPr>
              <w:pStyle w:val="ConsPlusNormal"/>
            </w:pPr>
          </w:p>
        </w:tc>
        <w:tc>
          <w:tcPr>
            <w:tcW w:w="2475" w:type="dxa"/>
          </w:tcPr>
          <w:p w:rsidR="00E45ACA" w:rsidRDefault="00E45ACA">
            <w:pPr>
              <w:pStyle w:val="ConsPlusNormal"/>
              <w:jc w:val="center"/>
            </w:pPr>
            <w:r>
              <w:t>20,0 процента</w:t>
            </w:r>
          </w:p>
          <w:p w:rsidR="00E45ACA" w:rsidRDefault="00E45ACA">
            <w:pPr>
              <w:pStyle w:val="ConsPlusNormal"/>
              <w:jc w:val="center"/>
            </w:pPr>
            <w:r>
              <w:t>от содержания</w:t>
            </w:r>
          </w:p>
          <w:p w:rsidR="00E45ACA" w:rsidRDefault="00E45ACA">
            <w:pPr>
              <w:pStyle w:val="ConsPlusNormal"/>
              <w:jc w:val="center"/>
            </w:pPr>
            <w:r>
              <w:t>жира в продукте (с 01.01.2015) 2,0 процента</w:t>
            </w:r>
          </w:p>
          <w:p w:rsidR="00E45ACA" w:rsidRDefault="00E45ACA">
            <w:pPr>
              <w:pStyle w:val="ConsPlusNormal"/>
              <w:jc w:val="center"/>
            </w:pPr>
            <w:r>
              <w:t>от содержания</w:t>
            </w:r>
          </w:p>
          <w:p w:rsidR="00E45ACA" w:rsidRDefault="00E45ACA">
            <w:pPr>
              <w:pStyle w:val="ConsPlusNormal"/>
              <w:jc w:val="center"/>
            </w:pPr>
            <w:r>
              <w:t>жира в продукте (с 01.01.2018)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</w:pPr>
            <w:r>
              <w:t>Для жиров специального назначения</w:t>
            </w:r>
          </w:p>
        </w:tc>
      </w:tr>
      <w:tr w:rsidR="00E45ACA">
        <w:tc>
          <w:tcPr>
            <w:tcW w:w="3135" w:type="dxa"/>
            <w:vMerge/>
          </w:tcPr>
          <w:p w:rsidR="00E45ACA" w:rsidRDefault="00E45ACA">
            <w:pPr>
              <w:pStyle w:val="ConsPlusNormal"/>
            </w:pPr>
          </w:p>
        </w:tc>
        <w:tc>
          <w:tcPr>
            <w:tcW w:w="2970" w:type="dxa"/>
          </w:tcPr>
          <w:p w:rsidR="00E45ACA" w:rsidRDefault="00E45ACA">
            <w:pPr>
              <w:pStyle w:val="ConsPlusNormal"/>
              <w:jc w:val="center"/>
            </w:pPr>
            <w:r>
              <w:t>Показатели окислительной порчи:</w:t>
            </w:r>
          </w:p>
        </w:tc>
        <w:tc>
          <w:tcPr>
            <w:tcW w:w="2475" w:type="dxa"/>
          </w:tcPr>
          <w:p w:rsidR="00E45ACA" w:rsidRDefault="00E45ACA">
            <w:pPr>
              <w:pStyle w:val="ConsPlusNormal"/>
              <w:jc w:val="center"/>
            </w:pP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both"/>
            </w:pPr>
          </w:p>
        </w:tc>
      </w:tr>
      <w:tr w:rsidR="00E45ACA">
        <w:tc>
          <w:tcPr>
            <w:tcW w:w="3135" w:type="dxa"/>
            <w:vMerge/>
          </w:tcPr>
          <w:p w:rsidR="00E45ACA" w:rsidRDefault="00E45ACA">
            <w:pPr>
              <w:pStyle w:val="ConsPlusNormal"/>
            </w:pPr>
          </w:p>
        </w:tc>
        <w:tc>
          <w:tcPr>
            <w:tcW w:w="2970" w:type="dxa"/>
          </w:tcPr>
          <w:p w:rsidR="00E45ACA" w:rsidRDefault="00E45ACA">
            <w:pPr>
              <w:pStyle w:val="ConsPlusNormal"/>
              <w:jc w:val="center"/>
            </w:pPr>
            <w:r>
              <w:t>Кислотное число</w:t>
            </w:r>
          </w:p>
        </w:tc>
        <w:tc>
          <w:tcPr>
            <w:tcW w:w="2475" w:type="dxa"/>
          </w:tcPr>
          <w:p w:rsidR="00E45ACA" w:rsidRDefault="00E45ACA">
            <w:pPr>
              <w:pStyle w:val="ConsPlusNormal"/>
              <w:jc w:val="center"/>
            </w:pPr>
            <w:r>
              <w:t>0,6 мг гидроокиси калия/г (мг КОН/г)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</w:pPr>
            <w:r>
              <w:t>Кроме маргаринов</w:t>
            </w:r>
          </w:p>
        </w:tc>
      </w:tr>
      <w:tr w:rsidR="00E45ACA">
        <w:tc>
          <w:tcPr>
            <w:tcW w:w="3135" w:type="dxa"/>
            <w:vMerge/>
          </w:tcPr>
          <w:p w:rsidR="00E45ACA" w:rsidRDefault="00E45ACA">
            <w:pPr>
              <w:pStyle w:val="ConsPlusNormal"/>
            </w:pPr>
          </w:p>
        </w:tc>
        <w:tc>
          <w:tcPr>
            <w:tcW w:w="2970" w:type="dxa"/>
          </w:tcPr>
          <w:p w:rsidR="00E45ACA" w:rsidRDefault="00E45ACA">
            <w:pPr>
              <w:pStyle w:val="ConsPlusNormal"/>
              <w:jc w:val="center"/>
            </w:pPr>
            <w:r>
              <w:t>Перекисное число</w:t>
            </w:r>
          </w:p>
        </w:tc>
        <w:tc>
          <w:tcPr>
            <w:tcW w:w="2475" w:type="dxa"/>
          </w:tcPr>
          <w:p w:rsidR="00E45ACA" w:rsidRDefault="00E45ACA">
            <w:pPr>
              <w:pStyle w:val="ConsPlusNormal"/>
              <w:jc w:val="center"/>
            </w:pPr>
            <w:r>
              <w:t>10,0 мэкв/кг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both"/>
            </w:pPr>
          </w:p>
        </w:tc>
      </w:tr>
      <w:tr w:rsidR="00E45ACA">
        <w:tc>
          <w:tcPr>
            <w:tcW w:w="3135" w:type="dxa"/>
            <w:vMerge w:val="restart"/>
          </w:tcPr>
          <w:p w:rsidR="00E45ACA" w:rsidRDefault="00E45ACA">
            <w:pPr>
              <w:pStyle w:val="ConsPlusNormal"/>
            </w:pPr>
            <w:r>
              <w:t>2. 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2970" w:type="dxa"/>
          </w:tcPr>
          <w:p w:rsidR="00E45ACA" w:rsidRDefault="00E45ACA">
            <w:pPr>
              <w:pStyle w:val="ConsPlusNormal"/>
              <w:jc w:val="center"/>
            </w:pPr>
            <w:r>
              <w:t xml:space="preserve">Антибиотики </w:t>
            </w:r>
            <w:hyperlink w:anchor="P568">
              <w:r>
                <w:rPr>
                  <w:color w:val="0000FF"/>
                </w:rPr>
                <w:t>&lt;*&gt;</w:t>
              </w:r>
            </w:hyperlink>
            <w:r>
              <w:t>:</w:t>
            </w:r>
          </w:p>
        </w:tc>
        <w:tc>
          <w:tcPr>
            <w:tcW w:w="2475" w:type="dxa"/>
          </w:tcPr>
          <w:p w:rsidR="00E45ACA" w:rsidRDefault="00E45ACA">
            <w:pPr>
              <w:pStyle w:val="ConsPlusNormal"/>
              <w:jc w:val="center"/>
            </w:pPr>
          </w:p>
        </w:tc>
        <w:tc>
          <w:tcPr>
            <w:tcW w:w="3630" w:type="dxa"/>
          </w:tcPr>
          <w:p w:rsidR="00E45ACA" w:rsidRDefault="00E45ACA">
            <w:pPr>
              <w:pStyle w:val="ConsPlusNormal"/>
            </w:pPr>
            <w:r>
              <w:t>Для продуктов растительно-сливочных</w:t>
            </w:r>
          </w:p>
        </w:tc>
      </w:tr>
      <w:tr w:rsidR="00E45ACA">
        <w:tc>
          <w:tcPr>
            <w:tcW w:w="3135" w:type="dxa"/>
            <w:vMerge/>
          </w:tcPr>
          <w:p w:rsidR="00E45ACA" w:rsidRDefault="00E45ACA">
            <w:pPr>
              <w:pStyle w:val="ConsPlusNormal"/>
            </w:pPr>
          </w:p>
        </w:tc>
        <w:tc>
          <w:tcPr>
            <w:tcW w:w="2970" w:type="dxa"/>
          </w:tcPr>
          <w:p w:rsidR="00E45ACA" w:rsidRDefault="00E45ACA">
            <w:pPr>
              <w:pStyle w:val="ConsPlusNormal"/>
              <w:jc w:val="center"/>
            </w:pPr>
            <w:r>
              <w:t>Левомицетин (хлорамфеникол)</w:t>
            </w:r>
          </w:p>
        </w:tc>
        <w:tc>
          <w:tcPr>
            <w:tcW w:w="2475" w:type="dxa"/>
          </w:tcPr>
          <w:p w:rsidR="00E45ACA" w:rsidRDefault="00E45ACA">
            <w:pPr>
              <w:pStyle w:val="ConsPlusNormal"/>
              <w:jc w:val="center"/>
            </w:pPr>
            <w:r>
              <w:t>Не допускается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</w:pPr>
            <w:r>
              <w:t>менее 0,0003 мг/кг</w:t>
            </w:r>
          </w:p>
        </w:tc>
      </w:tr>
      <w:tr w:rsidR="00E45ACA">
        <w:tc>
          <w:tcPr>
            <w:tcW w:w="3135" w:type="dxa"/>
            <w:vMerge/>
          </w:tcPr>
          <w:p w:rsidR="00E45ACA" w:rsidRDefault="00E45ACA">
            <w:pPr>
              <w:pStyle w:val="ConsPlusNormal"/>
            </w:pPr>
          </w:p>
        </w:tc>
        <w:tc>
          <w:tcPr>
            <w:tcW w:w="2970" w:type="dxa"/>
          </w:tcPr>
          <w:p w:rsidR="00E45ACA" w:rsidRDefault="00E45ACA">
            <w:pPr>
              <w:pStyle w:val="ConsPlusNormal"/>
              <w:jc w:val="center"/>
            </w:pPr>
            <w:r>
              <w:t>Тетрациклиновая группа</w:t>
            </w:r>
          </w:p>
        </w:tc>
        <w:tc>
          <w:tcPr>
            <w:tcW w:w="2475" w:type="dxa"/>
          </w:tcPr>
          <w:p w:rsidR="00E45ACA" w:rsidRDefault="00E45ACA">
            <w:pPr>
              <w:pStyle w:val="ConsPlusNormal"/>
              <w:jc w:val="center"/>
            </w:pPr>
            <w:r>
              <w:t>Не допускается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</w:pPr>
            <w:r>
              <w:t>менее 0,01 мг/кг</w:t>
            </w:r>
          </w:p>
        </w:tc>
      </w:tr>
      <w:tr w:rsidR="00E45ACA">
        <w:tc>
          <w:tcPr>
            <w:tcW w:w="3135" w:type="dxa"/>
            <w:vMerge/>
          </w:tcPr>
          <w:p w:rsidR="00E45ACA" w:rsidRDefault="00E45ACA">
            <w:pPr>
              <w:pStyle w:val="ConsPlusNormal"/>
            </w:pPr>
          </w:p>
        </w:tc>
        <w:tc>
          <w:tcPr>
            <w:tcW w:w="2970" w:type="dxa"/>
          </w:tcPr>
          <w:p w:rsidR="00E45ACA" w:rsidRDefault="00E45ACA">
            <w:pPr>
              <w:pStyle w:val="ConsPlusNormal"/>
              <w:jc w:val="center"/>
            </w:pPr>
            <w:r>
              <w:t>Стрептомицин</w:t>
            </w:r>
          </w:p>
        </w:tc>
        <w:tc>
          <w:tcPr>
            <w:tcW w:w="2475" w:type="dxa"/>
          </w:tcPr>
          <w:p w:rsidR="00E45ACA" w:rsidRDefault="00E45ACA">
            <w:pPr>
              <w:pStyle w:val="ConsPlusNormal"/>
              <w:jc w:val="center"/>
            </w:pPr>
            <w:r>
              <w:t>Не допускается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</w:pPr>
            <w:r>
              <w:t>менее 0,2 мг/кг</w:t>
            </w:r>
          </w:p>
        </w:tc>
      </w:tr>
      <w:tr w:rsidR="00E45ACA">
        <w:tc>
          <w:tcPr>
            <w:tcW w:w="3135" w:type="dxa"/>
            <w:vMerge/>
          </w:tcPr>
          <w:p w:rsidR="00E45ACA" w:rsidRDefault="00E45ACA">
            <w:pPr>
              <w:pStyle w:val="ConsPlusNormal"/>
            </w:pPr>
          </w:p>
        </w:tc>
        <w:tc>
          <w:tcPr>
            <w:tcW w:w="2970" w:type="dxa"/>
          </w:tcPr>
          <w:p w:rsidR="00E45ACA" w:rsidRDefault="00E45ACA">
            <w:pPr>
              <w:pStyle w:val="ConsPlusNormal"/>
              <w:jc w:val="center"/>
            </w:pPr>
            <w:r>
              <w:t>Пенициллин</w:t>
            </w:r>
          </w:p>
        </w:tc>
        <w:tc>
          <w:tcPr>
            <w:tcW w:w="2475" w:type="dxa"/>
          </w:tcPr>
          <w:p w:rsidR="00E45ACA" w:rsidRDefault="00E45ACA">
            <w:pPr>
              <w:pStyle w:val="ConsPlusNormal"/>
              <w:jc w:val="center"/>
            </w:pPr>
            <w:r>
              <w:t>Не допускается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</w:pPr>
            <w:r>
              <w:t>менее 0,004 мг/кг</w:t>
            </w:r>
          </w:p>
        </w:tc>
      </w:tr>
      <w:tr w:rsidR="00E45ACA">
        <w:tc>
          <w:tcPr>
            <w:tcW w:w="3135" w:type="dxa"/>
            <w:vMerge/>
          </w:tcPr>
          <w:p w:rsidR="00E45ACA" w:rsidRDefault="00E45ACA">
            <w:pPr>
              <w:pStyle w:val="ConsPlusNormal"/>
            </w:pPr>
          </w:p>
        </w:tc>
        <w:tc>
          <w:tcPr>
            <w:tcW w:w="2970" w:type="dxa"/>
          </w:tcPr>
          <w:p w:rsidR="00E45ACA" w:rsidRDefault="00E45ACA">
            <w:pPr>
              <w:pStyle w:val="ConsPlusNormal"/>
              <w:jc w:val="center"/>
            </w:pPr>
            <w:r>
              <w:t>Транс-изомеры жирных кислот</w:t>
            </w:r>
          </w:p>
        </w:tc>
        <w:tc>
          <w:tcPr>
            <w:tcW w:w="2475" w:type="dxa"/>
          </w:tcPr>
          <w:p w:rsidR="00E45ACA" w:rsidRDefault="00E45ACA">
            <w:pPr>
              <w:pStyle w:val="ConsPlusNormal"/>
              <w:jc w:val="center"/>
            </w:pPr>
            <w:r>
              <w:t>8,0 процента</w:t>
            </w:r>
          </w:p>
          <w:p w:rsidR="00E45ACA" w:rsidRDefault="00E45ACA">
            <w:pPr>
              <w:pStyle w:val="ConsPlusNormal"/>
              <w:jc w:val="center"/>
            </w:pPr>
            <w:r>
              <w:t>от содержания</w:t>
            </w:r>
          </w:p>
          <w:p w:rsidR="00E45ACA" w:rsidRDefault="00E45ACA">
            <w:pPr>
              <w:pStyle w:val="ConsPlusNormal"/>
              <w:jc w:val="center"/>
            </w:pPr>
            <w:r>
              <w:t>жира в продукте</w:t>
            </w:r>
          </w:p>
          <w:p w:rsidR="00E45ACA" w:rsidRDefault="00E45ACA">
            <w:pPr>
              <w:pStyle w:val="ConsPlusNormal"/>
              <w:jc w:val="center"/>
            </w:pPr>
            <w:r>
              <w:t>2,0 процента</w:t>
            </w:r>
          </w:p>
          <w:p w:rsidR="00E45ACA" w:rsidRDefault="00E45ACA">
            <w:pPr>
              <w:pStyle w:val="ConsPlusNormal"/>
              <w:jc w:val="center"/>
            </w:pPr>
            <w:r>
              <w:t>от содержания</w:t>
            </w:r>
          </w:p>
          <w:p w:rsidR="00E45ACA" w:rsidRDefault="00E45ACA">
            <w:pPr>
              <w:pStyle w:val="ConsPlusNormal"/>
              <w:jc w:val="center"/>
            </w:pPr>
            <w:r>
              <w:t>жира в продукте (с 01.01.2018)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both"/>
            </w:pPr>
          </w:p>
        </w:tc>
      </w:tr>
      <w:tr w:rsidR="00E45ACA">
        <w:tc>
          <w:tcPr>
            <w:tcW w:w="3135" w:type="dxa"/>
            <w:vMerge/>
          </w:tcPr>
          <w:p w:rsidR="00E45ACA" w:rsidRDefault="00E45ACA">
            <w:pPr>
              <w:pStyle w:val="ConsPlusNormal"/>
            </w:pPr>
          </w:p>
        </w:tc>
        <w:tc>
          <w:tcPr>
            <w:tcW w:w="2970" w:type="dxa"/>
          </w:tcPr>
          <w:p w:rsidR="00E45ACA" w:rsidRDefault="00E45ACA">
            <w:pPr>
              <w:pStyle w:val="ConsPlusNormal"/>
              <w:jc w:val="center"/>
            </w:pPr>
            <w:r>
              <w:t>Показатели окислительной порчи:</w:t>
            </w:r>
          </w:p>
        </w:tc>
        <w:tc>
          <w:tcPr>
            <w:tcW w:w="2475" w:type="dxa"/>
          </w:tcPr>
          <w:p w:rsidR="00E45ACA" w:rsidRDefault="00E45ACA">
            <w:pPr>
              <w:pStyle w:val="ConsPlusNormal"/>
              <w:jc w:val="center"/>
            </w:pP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both"/>
            </w:pPr>
          </w:p>
        </w:tc>
      </w:tr>
      <w:tr w:rsidR="00E45ACA">
        <w:tc>
          <w:tcPr>
            <w:tcW w:w="3135" w:type="dxa"/>
            <w:vMerge/>
          </w:tcPr>
          <w:p w:rsidR="00E45ACA" w:rsidRDefault="00E45ACA">
            <w:pPr>
              <w:pStyle w:val="ConsPlusNormal"/>
            </w:pPr>
          </w:p>
        </w:tc>
        <w:tc>
          <w:tcPr>
            <w:tcW w:w="2970" w:type="dxa"/>
          </w:tcPr>
          <w:p w:rsidR="00E45ACA" w:rsidRDefault="00E45ACA">
            <w:pPr>
              <w:pStyle w:val="ConsPlusNormal"/>
              <w:jc w:val="center"/>
            </w:pPr>
            <w:r>
              <w:t>Кислотность жировой фазы</w:t>
            </w:r>
          </w:p>
        </w:tc>
        <w:tc>
          <w:tcPr>
            <w:tcW w:w="2475" w:type="dxa"/>
          </w:tcPr>
          <w:p w:rsidR="00E45ACA" w:rsidRDefault="00E45ACA">
            <w:pPr>
              <w:pStyle w:val="ConsPlusNormal"/>
              <w:jc w:val="center"/>
            </w:pPr>
            <w:r>
              <w:t>2,5 градуса Кеттстофера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</w:pPr>
            <w:r>
              <w:t>Для продуктов растительно-сливочных</w:t>
            </w:r>
          </w:p>
        </w:tc>
      </w:tr>
      <w:tr w:rsidR="00E45ACA">
        <w:tc>
          <w:tcPr>
            <w:tcW w:w="3135" w:type="dxa"/>
            <w:vMerge/>
          </w:tcPr>
          <w:p w:rsidR="00E45ACA" w:rsidRDefault="00E45ACA">
            <w:pPr>
              <w:pStyle w:val="ConsPlusNormal"/>
            </w:pPr>
          </w:p>
        </w:tc>
        <w:tc>
          <w:tcPr>
            <w:tcW w:w="2970" w:type="dxa"/>
          </w:tcPr>
          <w:p w:rsidR="00E45ACA" w:rsidRDefault="00E45ACA">
            <w:pPr>
              <w:pStyle w:val="ConsPlusNormal"/>
              <w:jc w:val="center"/>
            </w:pPr>
            <w:r>
              <w:t>Перекисное число</w:t>
            </w:r>
          </w:p>
        </w:tc>
        <w:tc>
          <w:tcPr>
            <w:tcW w:w="2475" w:type="dxa"/>
          </w:tcPr>
          <w:p w:rsidR="00E45ACA" w:rsidRDefault="00E45ACA">
            <w:pPr>
              <w:pStyle w:val="ConsPlusNormal"/>
              <w:jc w:val="center"/>
            </w:pPr>
            <w:r>
              <w:t>10,0 мэкв/кг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both"/>
            </w:pPr>
          </w:p>
        </w:tc>
      </w:tr>
      <w:tr w:rsidR="00E45ACA">
        <w:tc>
          <w:tcPr>
            <w:tcW w:w="3135" w:type="dxa"/>
            <w:vMerge w:val="restart"/>
          </w:tcPr>
          <w:p w:rsidR="00E45ACA" w:rsidRDefault="00E45ACA">
            <w:pPr>
              <w:pStyle w:val="ConsPlusNormal"/>
            </w:pPr>
            <w:r>
              <w:t>3. 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2970" w:type="dxa"/>
          </w:tcPr>
          <w:p w:rsidR="00E45ACA" w:rsidRDefault="00E45ACA">
            <w:pPr>
              <w:pStyle w:val="ConsPlusNormal"/>
              <w:jc w:val="center"/>
            </w:pPr>
            <w:r>
              <w:t>Показатели окислительной порчи:</w:t>
            </w:r>
          </w:p>
        </w:tc>
        <w:tc>
          <w:tcPr>
            <w:tcW w:w="2475" w:type="dxa"/>
          </w:tcPr>
          <w:p w:rsidR="00E45ACA" w:rsidRDefault="00E45ACA">
            <w:pPr>
              <w:pStyle w:val="ConsPlusNormal"/>
              <w:jc w:val="center"/>
            </w:pP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both"/>
            </w:pPr>
          </w:p>
        </w:tc>
      </w:tr>
      <w:tr w:rsidR="00E45ACA">
        <w:tc>
          <w:tcPr>
            <w:tcW w:w="3135" w:type="dxa"/>
            <w:vMerge/>
          </w:tcPr>
          <w:p w:rsidR="00E45ACA" w:rsidRDefault="00E45ACA">
            <w:pPr>
              <w:pStyle w:val="ConsPlusNormal"/>
            </w:pPr>
          </w:p>
        </w:tc>
        <w:tc>
          <w:tcPr>
            <w:tcW w:w="2970" w:type="dxa"/>
          </w:tcPr>
          <w:p w:rsidR="00E45ACA" w:rsidRDefault="00E45ACA">
            <w:pPr>
              <w:pStyle w:val="ConsPlusNormal"/>
              <w:jc w:val="center"/>
            </w:pPr>
            <w:r>
              <w:t>Перекисное число</w:t>
            </w:r>
          </w:p>
        </w:tc>
        <w:tc>
          <w:tcPr>
            <w:tcW w:w="2475" w:type="dxa"/>
          </w:tcPr>
          <w:p w:rsidR="00E45ACA" w:rsidRDefault="00E45ACA">
            <w:pPr>
              <w:pStyle w:val="ConsPlusNormal"/>
              <w:jc w:val="center"/>
            </w:pPr>
            <w:r>
              <w:t>10,0 мэкв/кг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both"/>
            </w:pPr>
          </w:p>
        </w:tc>
      </w:tr>
      <w:tr w:rsidR="00E45ACA">
        <w:tc>
          <w:tcPr>
            <w:tcW w:w="3135" w:type="dxa"/>
            <w:vMerge w:val="restart"/>
          </w:tcPr>
          <w:p w:rsidR="00E45ACA" w:rsidRDefault="00E45ACA">
            <w:pPr>
              <w:pStyle w:val="ConsPlusNormal"/>
            </w:pPr>
            <w:r>
              <w:t>4. Глицерин дистиллированный</w:t>
            </w:r>
          </w:p>
        </w:tc>
        <w:tc>
          <w:tcPr>
            <w:tcW w:w="2970" w:type="dxa"/>
          </w:tcPr>
          <w:p w:rsidR="00E45ACA" w:rsidRDefault="00E45ACA">
            <w:pPr>
              <w:pStyle w:val="ConsPlusNormal"/>
              <w:jc w:val="center"/>
            </w:pPr>
            <w:r>
              <w:t>Токсичные элементы:</w:t>
            </w:r>
          </w:p>
        </w:tc>
        <w:tc>
          <w:tcPr>
            <w:tcW w:w="2475" w:type="dxa"/>
          </w:tcPr>
          <w:p w:rsidR="00E45ACA" w:rsidRDefault="00E45ACA">
            <w:pPr>
              <w:pStyle w:val="ConsPlusNormal"/>
              <w:jc w:val="center"/>
            </w:pP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both"/>
            </w:pPr>
          </w:p>
        </w:tc>
      </w:tr>
      <w:tr w:rsidR="00E45ACA">
        <w:tc>
          <w:tcPr>
            <w:tcW w:w="3135" w:type="dxa"/>
            <w:vMerge/>
          </w:tcPr>
          <w:p w:rsidR="00E45ACA" w:rsidRDefault="00E45ACA">
            <w:pPr>
              <w:pStyle w:val="ConsPlusNormal"/>
            </w:pPr>
          </w:p>
        </w:tc>
        <w:tc>
          <w:tcPr>
            <w:tcW w:w="2970" w:type="dxa"/>
          </w:tcPr>
          <w:p w:rsidR="00E45ACA" w:rsidRDefault="00E45ACA">
            <w:pPr>
              <w:pStyle w:val="ConsPlusNormal"/>
              <w:jc w:val="center"/>
            </w:pPr>
            <w:r>
              <w:t>Железо</w:t>
            </w:r>
          </w:p>
        </w:tc>
        <w:tc>
          <w:tcPr>
            <w:tcW w:w="2475" w:type="dxa"/>
          </w:tcPr>
          <w:p w:rsidR="00E45ACA" w:rsidRDefault="00E45ACA">
            <w:pPr>
              <w:pStyle w:val="ConsPlusNormal"/>
              <w:jc w:val="center"/>
            </w:pPr>
            <w:r>
              <w:t>2,0 мг/кг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both"/>
            </w:pPr>
          </w:p>
        </w:tc>
      </w:tr>
      <w:tr w:rsidR="00E45ACA">
        <w:tc>
          <w:tcPr>
            <w:tcW w:w="3135" w:type="dxa"/>
            <w:vMerge/>
          </w:tcPr>
          <w:p w:rsidR="00E45ACA" w:rsidRDefault="00E45ACA">
            <w:pPr>
              <w:pStyle w:val="ConsPlusNormal"/>
            </w:pPr>
          </w:p>
        </w:tc>
        <w:tc>
          <w:tcPr>
            <w:tcW w:w="2970" w:type="dxa"/>
          </w:tcPr>
          <w:p w:rsidR="00E45ACA" w:rsidRDefault="00E45ACA">
            <w:pPr>
              <w:pStyle w:val="ConsPlusNormal"/>
              <w:jc w:val="center"/>
            </w:pPr>
            <w:r>
              <w:t>Свинец</w:t>
            </w:r>
          </w:p>
        </w:tc>
        <w:tc>
          <w:tcPr>
            <w:tcW w:w="2475" w:type="dxa"/>
          </w:tcPr>
          <w:p w:rsidR="00E45ACA" w:rsidRDefault="00E45ACA">
            <w:pPr>
              <w:pStyle w:val="ConsPlusNormal"/>
              <w:jc w:val="center"/>
            </w:pPr>
            <w:r>
              <w:t>5,0 мг/кг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both"/>
            </w:pPr>
          </w:p>
        </w:tc>
      </w:tr>
      <w:tr w:rsidR="00E45ACA">
        <w:tc>
          <w:tcPr>
            <w:tcW w:w="3135" w:type="dxa"/>
            <w:vMerge/>
          </w:tcPr>
          <w:p w:rsidR="00E45ACA" w:rsidRDefault="00E45ACA">
            <w:pPr>
              <w:pStyle w:val="ConsPlusNormal"/>
            </w:pPr>
          </w:p>
        </w:tc>
        <w:tc>
          <w:tcPr>
            <w:tcW w:w="2970" w:type="dxa"/>
          </w:tcPr>
          <w:p w:rsidR="00E45ACA" w:rsidRDefault="00E45ACA">
            <w:pPr>
              <w:pStyle w:val="ConsPlusNormal"/>
              <w:jc w:val="center"/>
            </w:pPr>
            <w:r>
              <w:t>Мышьяк</w:t>
            </w:r>
          </w:p>
        </w:tc>
        <w:tc>
          <w:tcPr>
            <w:tcW w:w="2475" w:type="dxa"/>
          </w:tcPr>
          <w:p w:rsidR="00E45ACA" w:rsidRDefault="00E45ACA">
            <w:pPr>
              <w:pStyle w:val="ConsPlusNormal"/>
              <w:jc w:val="center"/>
            </w:pPr>
            <w:r>
              <w:t>0,3 мг/кг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both"/>
            </w:pPr>
          </w:p>
        </w:tc>
      </w:tr>
    </w:tbl>
    <w:p w:rsidR="00E45ACA" w:rsidRDefault="00E45ACA">
      <w:pPr>
        <w:pStyle w:val="ConsPlusNormal"/>
        <w:sectPr w:rsidR="00E45AC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  <w:r>
        <w:t>--------------------------------</w:t>
      </w:r>
    </w:p>
    <w:p w:rsidR="00E45ACA" w:rsidRDefault="00E45ACA">
      <w:pPr>
        <w:pStyle w:val="ConsPlusNormal"/>
        <w:spacing w:before="200"/>
        <w:ind w:firstLine="540"/>
        <w:jc w:val="both"/>
      </w:pPr>
      <w:bookmarkStart w:id="12" w:name="P568"/>
      <w:bookmarkEnd w:id="12"/>
      <w:r>
        <w:t>&lt;*&gt; Необходимо контролировать остаточные количества и тех антибиотиков, которые были использованы при производстве продовольственного сырья.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jc w:val="right"/>
        <w:outlineLvl w:val="1"/>
      </w:pPr>
      <w:r>
        <w:t>Приложение 2</w:t>
      </w:r>
    </w:p>
    <w:p w:rsidR="00E45ACA" w:rsidRDefault="00E45ACA">
      <w:pPr>
        <w:pStyle w:val="ConsPlusNormal"/>
        <w:jc w:val="right"/>
      </w:pPr>
      <w:r>
        <w:t>к техническому регламенту</w:t>
      </w:r>
    </w:p>
    <w:p w:rsidR="00E45ACA" w:rsidRDefault="00E45ACA">
      <w:pPr>
        <w:pStyle w:val="ConsPlusNormal"/>
        <w:jc w:val="right"/>
      </w:pPr>
      <w:r>
        <w:t>"Технический регламент</w:t>
      </w:r>
    </w:p>
    <w:p w:rsidR="00E45ACA" w:rsidRDefault="00E45ACA">
      <w:pPr>
        <w:pStyle w:val="ConsPlusNormal"/>
        <w:jc w:val="right"/>
      </w:pPr>
      <w:r>
        <w:t>на масложировую продукцию"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Title"/>
        <w:jc w:val="center"/>
      </w:pPr>
      <w:bookmarkStart w:id="13" w:name="P579"/>
      <w:bookmarkEnd w:id="13"/>
      <w:r>
        <w:t>ТРЕБОВАНИЯ</w:t>
      </w:r>
    </w:p>
    <w:p w:rsidR="00E45ACA" w:rsidRDefault="00E45ACA">
      <w:pPr>
        <w:pStyle w:val="ConsPlusTitle"/>
        <w:jc w:val="center"/>
      </w:pPr>
      <w:r>
        <w:t>ПО МИКРОБИОЛОГИЧЕСКИМ НОРМАТИВАМ БЕЗОПАСНОСТИ</w:t>
      </w:r>
    </w:p>
    <w:p w:rsidR="00E45ACA" w:rsidRDefault="00E45ACA">
      <w:pPr>
        <w:pStyle w:val="ConsPlusTitle"/>
        <w:jc w:val="center"/>
      </w:pPr>
      <w:r>
        <w:t>ПИЩЕВОЙ МАСЛОЖИРОВОЙ ПРОДУКЦИИ</w:t>
      </w:r>
    </w:p>
    <w:p w:rsidR="00E45ACA" w:rsidRDefault="00E45AC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E45AC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5ACA" w:rsidRDefault="00E45AC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5ACA" w:rsidRDefault="00E45AC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5ACA" w:rsidRDefault="00E45AC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5ACA" w:rsidRDefault="00E45AC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Евразийской экономической комиссии</w:t>
            </w:r>
          </w:p>
          <w:p w:rsidR="00E45ACA" w:rsidRDefault="00E45ACA">
            <w:pPr>
              <w:pStyle w:val="ConsPlusNormal"/>
              <w:jc w:val="center"/>
            </w:pPr>
            <w:r>
              <w:rPr>
                <w:color w:val="392C69"/>
              </w:rPr>
              <w:t>от 23.04.2015 N 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5ACA" w:rsidRDefault="00E45ACA">
            <w:pPr>
              <w:pStyle w:val="ConsPlusNormal"/>
            </w:pPr>
          </w:p>
        </w:tc>
      </w:tr>
    </w:tbl>
    <w:p w:rsidR="00E45ACA" w:rsidRDefault="00E45ACA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30"/>
        <w:gridCol w:w="1815"/>
        <w:gridCol w:w="1980"/>
        <w:gridCol w:w="1650"/>
        <w:gridCol w:w="1650"/>
        <w:gridCol w:w="1485"/>
      </w:tblGrid>
      <w:tr w:rsidR="00E45ACA">
        <w:tc>
          <w:tcPr>
            <w:tcW w:w="3630" w:type="dxa"/>
            <w:vMerge w:val="restart"/>
          </w:tcPr>
          <w:p w:rsidR="00E45ACA" w:rsidRDefault="00E45ACA">
            <w:pPr>
              <w:pStyle w:val="ConsPlusNormal"/>
              <w:jc w:val="center"/>
            </w:pPr>
            <w:r>
              <w:t>Группа продуктов</w:t>
            </w:r>
          </w:p>
        </w:tc>
        <w:tc>
          <w:tcPr>
            <w:tcW w:w="1815" w:type="dxa"/>
            <w:vMerge w:val="restart"/>
          </w:tcPr>
          <w:p w:rsidR="00E45ACA" w:rsidRDefault="00E45ACA">
            <w:pPr>
              <w:pStyle w:val="ConsPlusNormal"/>
              <w:jc w:val="center"/>
            </w:pPr>
            <w:r>
              <w:t xml:space="preserve">КМАФАнМ </w:t>
            </w:r>
            <w:hyperlink w:anchor="P636">
              <w:r>
                <w:rPr>
                  <w:color w:val="0000FF"/>
                </w:rPr>
                <w:t>&lt;*&gt;</w:t>
              </w:r>
            </w:hyperlink>
            <w:r>
              <w:t xml:space="preserve">, КОЕ </w:t>
            </w:r>
            <w:hyperlink w:anchor="P637">
              <w:r>
                <w:rPr>
                  <w:color w:val="0000FF"/>
                </w:rPr>
                <w:t>&lt;**&gt;/г</w:t>
              </w:r>
            </w:hyperlink>
            <w:r>
              <w:t>, не более</w:t>
            </w:r>
          </w:p>
        </w:tc>
        <w:tc>
          <w:tcPr>
            <w:tcW w:w="3630" w:type="dxa"/>
            <w:gridSpan w:val="2"/>
          </w:tcPr>
          <w:p w:rsidR="00E45ACA" w:rsidRDefault="00E45ACA">
            <w:pPr>
              <w:pStyle w:val="ConsPlusNormal"/>
              <w:jc w:val="center"/>
            </w:pPr>
            <w:r>
              <w:t>Масса продукта (г), в которой не допускаются</w:t>
            </w:r>
          </w:p>
        </w:tc>
        <w:tc>
          <w:tcPr>
            <w:tcW w:w="1650" w:type="dxa"/>
            <w:vMerge w:val="restart"/>
          </w:tcPr>
          <w:p w:rsidR="00E45ACA" w:rsidRDefault="00E45ACA">
            <w:pPr>
              <w:pStyle w:val="ConsPlusNormal"/>
              <w:jc w:val="center"/>
            </w:pPr>
            <w:r>
              <w:t>Дрожжи, КОЕ/г, не более</w:t>
            </w:r>
          </w:p>
        </w:tc>
        <w:tc>
          <w:tcPr>
            <w:tcW w:w="1485" w:type="dxa"/>
            <w:vMerge w:val="restart"/>
          </w:tcPr>
          <w:p w:rsidR="00E45ACA" w:rsidRDefault="00E45ACA">
            <w:pPr>
              <w:pStyle w:val="ConsPlusNormal"/>
              <w:jc w:val="center"/>
            </w:pPr>
            <w:r>
              <w:t>Плесени, КОЕ/г, не более</w:t>
            </w:r>
          </w:p>
        </w:tc>
      </w:tr>
      <w:tr w:rsidR="00E45ACA">
        <w:tc>
          <w:tcPr>
            <w:tcW w:w="3630" w:type="dxa"/>
            <w:vMerge/>
          </w:tcPr>
          <w:p w:rsidR="00E45ACA" w:rsidRDefault="00E45ACA">
            <w:pPr>
              <w:pStyle w:val="ConsPlusNormal"/>
            </w:pPr>
          </w:p>
        </w:tc>
        <w:tc>
          <w:tcPr>
            <w:tcW w:w="1815" w:type="dxa"/>
            <w:vMerge/>
          </w:tcPr>
          <w:p w:rsidR="00E45ACA" w:rsidRDefault="00E45ACA">
            <w:pPr>
              <w:pStyle w:val="ConsPlusNormal"/>
            </w:pPr>
          </w:p>
        </w:tc>
        <w:tc>
          <w:tcPr>
            <w:tcW w:w="1980" w:type="dxa"/>
          </w:tcPr>
          <w:p w:rsidR="00E45ACA" w:rsidRDefault="00E45ACA">
            <w:pPr>
              <w:pStyle w:val="ConsPlusNormal"/>
              <w:jc w:val="center"/>
            </w:pPr>
            <w:r>
              <w:t xml:space="preserve">БГКП </w:t>
            </w:r>
            <w:hyperlink w:anchor="P638">
              <w:r>
                <w:rPr>
                  <w:color w:val="0000FF"/>
                </w:rPr>
                <w:t>&lt;***&gt;</w:t>
              </w:r>
            </w:hyperlink>
            <w:r>
              <w:t xml:space="preserve"> (колиформы)</w:t>
            </w:r>
          </w:p>
        </w:tc>
        <w:tc>
          <w:tcPr>
            <w:tcW w:w="1650" w:type="dxa"/>
          </w:tcPr>
          <w:p w:rsidR="00E45ACA" w:rsidRDefault="00E45ACA">
            <w:pPr>
              <w:pStyle w:val="ConsPlusNormal"/>
              <w:jc w:val="center"/>
            </w:pPr>
            <w:r>
              <w:t>Стафилококки S. aureus</w:t>
            </w:r>
          </w:p>
        </w:tc>
        <w:tc>
          <w:tcPr>
            <w:tcW w:w="1650" w:type="dxa"/>
            <w:vMerge/>
          </w:tcPr>
          <w:p w:rsidR="00E45ACA" w:rsidRDefault="00E45ACA">
            <w:pPr>
              <w:pStyle w:val="ConsPlusNormal"/>
            </w:pPr>
          </w:p>
        </w:tc>
        <w:tc>
          <w:tcPr>
            <w:tcW w:w="1485" w:type="dxa"/>
            <w:vMerge/>
          </w:tcPr>
          <w:p w:rsidR="00E45ACA" w:rsidRDefault="00E45ACA">
            <w:pPr>
              <w:pStyle w:val="ConsPlusNormal"/>
            </w:pPr>
          </w:p>
        </w:tc>
      </w:tr>
      <w:tr w:rsidR="00E45ACA">
        <w:tc>
          <w:tcPr>
            <w:tcW w:w="3630" w:type="dxa"/>
          </w:tcPr>
          <w:p w:rsidR="00E45ACA" w:rsidRDefault="00E45ACA">
            <w:pPr>
              <w:pStyle w:val="ConsPlusNormal"/>
            </w:pPr>
            <w:r>
              <w:t>Майонезы, соусы майонезные, соусы на основе растительных масел</w:t>
            </w:r>
          </w:p>
        </w:tc>
        <w:tc>
          <w:tcPr>
            <w:tcW w:w="1815" w:type="dxa"/>
          </w:tcPr>
          <w:p w:rsidR="00E45ACA" w:rsidRDefault="00E45A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E45ACA" w:rsidRDefault="00E45ACA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650" w:type="dxa"/>
          </w:tcPr>
          <w:p w:rsidR="00E45ACA" w:rsidRDefault="00E45A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50" w:type="dxa"/>
          </w:tcPr>
          <w:p w:rsidR="00E45ACA" w:rsidRDefault="00E45ACA">
            <w:pPr>
              <w:pStyle w:val="ConsPlusNormal"/>
              <w:jc w:val="center"/>
            </w:pPr>
            <w:r>
              <w:t>5 · 10</w:t>
            </w:r>
            <w:r>
              <w:rPr>
                <w:vertAlign w:val="superscript"/>
              </w:rPr>
              <w:t>2</w:t>
            </w:r>
          </w:p>
        </w:tc>
        <w:tc>
          <w:tcPr>
            <w:tcW w:w="1485" w:type="dxa"/>
          </w:tcPr>
          <w:p w:rsidR="00E45ACA" w:rsidRDefault="00E45ACA">
            <w:pPr>
              <w:pStyle w:val="ConsPlusNormal"/>
              <w:jc w:val="center"/>
            </w:pPr>
            <w:r>
              <w:t>50</w:t>
            </w:r>
          </w:p>
        </w:tc>
      </w:tr>
      <w:tr w:rsidR="00E45ACA">
        <w:tc>
          <w:tcPr>
            <w:tcW w:w="3630" w:type="dxa"/>
          </w:tcPr>
          <w:p w:rsidR="00E45ACA" w:rsidRDefault="00E45ACA">
            <w:pPr>
              <w:pStyle w:val="ConsPlusNormal"/>
            </w:pPr>
            <w:r>
              <w:t xml:space="preserve">Жиры специального назначения, в том числе жиры кулинарные, кондитерские, хлебопекарные; заменители молочного жира; эквиваленты масла какао, улучшители масла какао SOS-типа, заменители масла какао POP-типа, </w:t>
            </w:r>
            <w:r>
              <w:lastRenderedPageBreak/>
              <w:t>заменители масла какао нетемперируемые нелауринового типа, заменители масла какао нетемперируемые лауринового типа, смеси топленые растительно-жировые</w:t>
            </w:r>
          </w:p>
        </w:tc>
        <w:tc>
          <w:tcPr>
            <w:tcW w:w="1815" w:type="dxa"/>
          </w:tcPr>
          <w:p w:rsidR="00E45ACA" w:rsidRDefault="00E45AC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980" w:type="dxa"/>
          </w:tcPr>
          <w:p w:rsidR="00E45ACA" w:rsidRDefault="00E45ACA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1650" w:type="dxa"/>
          </w:tcPr>
          <w:p w:rsidR="00E45ACA" w:rsidRDefault="00E45A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50" w:type="dxa"/>
          </w:tcPr>
          <w:p w:rsidR="00E45ACA" w:rsidRDefault="00E45ACA">
            <w:pPr>
              <w:pStyle w:val="ConsPlusNormal"/>
              <w:jc w:val="center"/>
            </w:pPr>
            <w:r>
              <w:t>1 · 10</w:t>
            </w:r>
            <w:r>
              <w:rPr>
                <w:vertAlign w:val="superscript"/>
              </w:rPr>
              <w:t>3</w:t>
            </w:r>
          </w:p>
        </w:tc>
        <w:tc>
          <w:tcPr>
            <w:tcW w:w="1485" w:type="dxa"/>
          </w:tcPr>
          <w:p w:rsidR="00E45ACA" w:rsidRDefault="00E45ACA">
            <w:pPr>
              <w:pStyle w:val="ConsPlusNormal"/>
              <w:jc w:val="center"/>
            </w:pPr>
            <w:r>
              <w:t>1 · 10</w:t>
            </w:r>
            <w:r>
              <w:rPr>
                <w:vertAlign w:val="superscript"/>
              </w:rPr>
              <w:t>2</w:t>
            </w:r>
          </w:p>
        </w:tc>
      </w:tr>
      <w:tr w:rsidR="00E45ACA">
        <w:tc>
          <w:tcPr>
            <w:tcW w:w="3630" w:type="dxa"/>
          </w:tcPr>
          <w:p w:rsidR="00E45ACA" w:rsidRDefault="00E45ACA">
            <w:pPr>
              <w:pStyle w:val="ConsPlusNormal"/>
            </w:pPr>
            <w:r>
              <w:lastRenderedPageBreak/>
              <w:t>Маргарины, спреды растительно-жировые</w:t>
            </w:r>
          </w:p>
        </w:tc>
        <w:tc>
          <w:tcPr>
            <w:tcW w:w="1815" w:type="dxa"/>
          </w:tcPr>
          <w:p w:rsidR="00E45ACA" w:rsidRDefault="00E45A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E45ACA" w:rsidRDefault="00E45ACA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1650" w:type="dxa"/>
          </w:tcPr>
          <w:p w:rsidR="00E45ACA" w:rsidRDefault="00E45A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50" w:type="dxa"/>
          </w:tcPr>
          <w:p w:rsidR="00E45ACA" w:rsidRDefault="00E45ACA">
            <w:pPr>
              <w:pStyle w:val="ConsPlusNormal"/>
              <w:jc w:val="center"/>
            </w:pPr>
            <w:r>
              <w:t>5 · 10</w:t>
            </w:r>
            <w:r>
              <w:rPr>
                <w:vertAlign w:val="superscript"/>
              </w:rPr>
              <w:t>2</w:t>
            </w:r>
          </w:p>
        </w:tc>
        <w:tc>
          <w:tcPr>
            <w:tcW w:w="1485" w:type="dxa"/>
          </w:tcPr>
          <w:p w:rsidR="00E45ACA" w:rsidRDefault="00E45ACA">
            <w:pPr>
              <w:pStyle w:val="ConsPlusNormal"/>
              <w:jc w:val="center"/>
            </w:pPr>
            <w:r>
              <w:t>50</w:t>
            </w:r>
          </w:p>
        </w:tc>
      </w:tr>
      <w:tr w:rsidR="00E45ACA">
        <w:tc>
          <w:tcPr>
            <w:tcW w:w="3630" w:type="dxa"/>
          </w:tcPr>
          <w:p w:rsidR="00E45ACA" w:rsidRDefault="00E45ACA">
            <w:pPr>
              <w:pStyle w:val="ConsPlusNormal"/>
            </w:pPr>
            <w:r>
              <w:t>Кремы на растительных маслах</w:t>
            </w:r>
          </w:p>
        </w:tc>
        <w:tc>
          <w:tcPr>
            <w:tcW w:w="1815" w:type="dxa"/>
          </w:tcPr>
          <w:p w:rsidR="00E45ACA" w:rsidRDefault="00E45ACA">
            <w:pPr>
              <w:pStyle w:val="ConsPlusNormal"/>
              <w:jc w:val="center"/>
            </w:pPr>
            <w:r>
              <w:t>1 · 10</w:t>
            </w:r>
            <w:r>
              <w:rPr>
                <w:vertAlign w:val="superscript"/>
              </w:rPr>
              <w:t>4</w:t>
            </w:r>
          </w:p>
        </w:tc>
        <w:tc>
          <w:tcPr>
            <w:tcW w:w="1980" w:type="dxa"/>
          </w:tcPr>
          <w:p w:rsidR="00E45ACA" w:rsidRDefault="00E45ACA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1650" w:type="dxa"/>
          </w:tcPr>
          <w:p w:rsidR="00E45ACA" w:rsidRDefault="00E45A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50" w:type="dxa"/>
          </w:tcPr>
          <w:p w:rsidR="00E45ACA" w:rsidRDefault="00E45AC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85" w:type="dxa"/>
          </w:tcPr>
          <w:p w:rsidR="00E45ACA" w:rsidRDefault="00E45ACA">
            <w:pPr>
              <w:pStyle w:val="ConsPlusNormal"/>
              <w:jc w:val="center"/>
            </w:pPr>
            <w:r>
              <w:t>50</w:t>
            </w:r>
          </w:p>
        </w:tc>
      </w:tr>
      <w:tr w:rsidR="00E45ACA">
        <w:tc>
          <w:tcPr>
            <w:tcW w:w="3630" w:type="dxa"/>
          </w:tcPr>
          <w:p w:rsidR="00E45ACA" w:rsidRDefault="00E45ACA">
            <w:pPr>
              <w:pStyle w:val="ConsPlusNormal"/>
            </w:pPr>
            <w:r>
              <w:t>Спреды растительно-сливочные с массовой долей жира от 60 процентов и более</w:t>
            </w:r>
          </w:p>
        </w:tc>
        <w:tc>
          <w:tcPr>
            <w:tcW w:w="1815" w:type="dxa"/>
          </w:tcPr>
          <w:p w:rsidR="00E45ACA" w:rsidRDefault="00E45ACA">
            <w:pPr>
              <w:pStyle w:val="ConsPlusNormal"/>
              <w:jc w:val="center"/>
            </w:pPr>
            <w:r>
              <w:t>1 · 10</w:t>
            </w:r>
            <w:r>
              <w:rPr>
                <w:vertAlign w:val="superscript"/>
              </w:rPr>
              <w:t>5</w:t>
            </w:r>
          </w:p>
        </w:tc>
        <w:tc>
          <w:tcPr>
            <w:tcW w:w="1980" w:type="dxa"/>
          </w:tcPr>
          <w:p w:rsidR="00E45ACA" w:rsidRDefault="00E45ACA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1650" w:type="dxa"/>
          </w:tcPr>
          <w:p w:rsidR="00E45ACA" w:rsidRDefault="00E45ACA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650" w:type="dxa"/>
          </w:tcPr>
          <w:p w:rsidR="00E45ACA" w:rsidRDefault="00E45A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</w:tcPr>
          <w:p w:rsidR="00E45ACA" w:rsidRDefault="00E45ACA">
            <w:pPr>
              <w:pStyle w:val="ConsPlusNormal"/>
              <w:jc w:val="center"/>
            </w:pPr>
            <w:r>
              <w:t>100</w:t>
            </w:r>
          </w:p>
        </w:tc>
      </w:tr>
      <w:tr w:rsidR="00E45ACA">
        <w:tc>
          <w:tcPr>
            <w:tcW w:w="3630" w:type="dxa"/>
          </w:tcPr>
          <w:p w:rsidR="00E45ACA" w:rsidRDefault="00E45ACA">
            <w:pPr>
              <w:pStyle w:val="ConsPlusNormal"/>
            </w:pPr>
            <w:r>
              <w:t>Спреды растительно-сливочные с массовой долей жира от 39 процентов до 60 процентов</w:t>
            </w:r>
          </w:p>
        </w:tc>
        <w:tc>
          <w:tcPr>
            <w:tcW w:w="1815" w:type="dxa"/>
          </w:tcPr>
          <w:p w:rsidR="00E45ACA" w:rsidRDefault="00E45ACA">
            <w:pPr>
              <w:pStyle w:val="ConsPlusNormal"/>
              <w:jc w:val="center"/>
            </w:pPr>
            <w:r>
              <w:t>1 · 10</w:t>
            </w:r>
            <w:r>
              <w:rPr>
                <w:vertAlign w:val="superscript"/>
              </w:rPr>
              <w:t>5</w:t>
            </w:r>
          </w:p>
        </w:tc>
        <w:tc>
          <w:tcPr>
            <w:tcW w:w="1980" w:type="dxa"/>
          </w:tcPr>
          <w:p w:rsidR="00E45ACA" w:rsidRDefault="00E45ACA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1650" w:type="dxa"/>
          </w:tcPr>
          <w:p w:rsidR="00E45ACA" w:rsidRDefault="00E45ACA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3135" w:type="dxa"/>
            <w:gridSpan w:val="2"/>
          </w:tcPr>
          <w:p w:rsidR="00E45ACA" w:rsidRDefault="00E45ACA">
            <w:pPr>
              <w:pStyle w:val="ConsPlusNormal"/>
              <w:jc w:val="center"/>
            </w:pPr>
            <w:r>
              <w:t>200 в сумме</w:t>
            </w:r>
          </w:p>
        </w:tc>
      </w:tr>
      <w:tr w:rsidR="00E45ACA">
        <w:tc>
          <w:tcPr>
            <w:tcW w:w="3630" w:type="dxa"/>
          </w:tcPr>
          <w:p w:rsidR="00E45ACA" w:rsidRDefault="00E45ACA">
            <w:pPr>
              <w:pStyle w:val="ConsPlusNormal"/>
            </w:pPr>
            <w:r>
              <w:t>Смеси топленые растительно-сливочные</w:t>
            </w:r>
          </w:p>
        </w:tc>
        <w:tc>
          <w:tcPr>
            <w:tcW w:w="1815" w:type="dxa"/>
          </w:tcPr>
          <w:p w:rsidR="00E45ACA" w:rsidRDefault="00E45ACA">
            <w:pPr>
              <w:pStyle w:val="ConsPlusNormal"/>
              <w:jc w:val="center"/>
            </w:pPr>
            <w:r>
              <w:t>1 · 10</w:t>
            </w:r>
            <w:r>
              <w:rPr>
                <w:vertAlign w:val="superscript"/>
              </w:rPr>
              <w:t>3</w:t>
            </w:r>
          </w:p>
        </w:tc>
        <w:tc>
          <w:tcPr>
            <w:tcW w:w="1980" w:type="dxa"/>
          </w:tcPr>
          <w:p w:rsidR="00E45ACA" w:rsidRDefault="00E45ACA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650" w:type="dxa"/>
          </w:tcPr>
          <w:p w:rsidR="00E45ACA" w:rsidRDefault="00E45A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50" w:type="dxa"/>
          </w:tcPr>
          <w:p w:rsidR="00E45ACA" w:rsidRDefault="00E45A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85" w:type="dxa"/>
          </w:tcPr>
          <w:p w:rsidR="00E45ACA" w:rsidRDefault="00E45ACA">
            <w:pPr>
              <w:pStyle w:val="ConsPlusNormal"/>
              <w:jc w:val="center"/>
            </w:pPr>
            <w:r>
              <w:t>-</w:t>
            </w:r>
          </w:p>
        </w:tc>
      </w:tr>
    </w:tbl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  <w:r>
        <w:t>--------------------------------</w:t>
      </w:r>
    </w:p>
    <w:p w:rsidR="00E45ACA" w:rsidRDefault="00E45ACA">
      <w:pPr>
        <w:pStyle w:val="ConsPlusNormal"/>
        <w:spacing w:before="200"/>
        <w:ind w:firstLine="540"/>
        <w:jc w:val="both"/>
      </w:pPr>
      <w:bookmarkStart w:id="14" w:name="P636"/>
      <w:bookmarkEnd w:id="14"/>
      <w:r>
        <w:t>&lt;*&gt; КМАФАнМ - количество мезофильных аэробных и факультативно-анаэробных микроорганизмов.</w:t>
      </w:r>
    </w:p>
    <w:p w:rsidR="00E45ACA" w:rsidRDefault="00E45ACA">
      <w:pPr>
        <w:pStyle w:val="ConsPlusNormal"/>
        <w:spacing w:before="200"/>
        <w:ind w:firstLine="540"/>
        <w:jc w:val="both"/>
      </w:pPr>
      <w:bookmarkStart w:id="15" w:name="P637"/>
      <w:bookmarkEnd w:id="15"/>
      <w:r>
        <w:t>&lt;**&gt; КОЕ - количество колониеобразующих единиц.</w:t>
      </w:r>
    </w:p>
    <w:p w:rsidR="00E45ACA" w:rsidRDefault="00E45ACA">
      <w:pPr>
        <w:pStyle w:val="ConsPlusNormal"/>
        <w:spacing w:before="200"/>
        <w:ind w:firstLine="540"/>
        <w:jc w:val="both"/>
      </w:pPr>
      <w:bookmarkStart w:id="16" w:name="P638"/>
      <w:bookmarkEnd w:id="16"/>
      <w:r>
        <w:t>&lt;***&gt; БГКП - бактерии группы кишечных палочек.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jc w:val="right"/>
        <w:outlineLvl w:val="1"/>
      </w:pPr>
      <w:r>
        <w:t>Приложение 3</w:t>
      </w:r>
    </w:p>
    <w:p w:rsidR="00E45ACA" w:rsidRDefault="00E45ACA">
      <w:pPr>
        <w:pStyle w:val="ConsPlusNormal"/>
        <w:jc w:val="right"/>
      </w:pPr>
      <w:r>
        <w:t>к техническому регламенту</w:t>
      </w:r>
    </w:p>
    <w:p w:rsidR="00E45ACA" w:rsidRDefault="00E45ACA">
      <w:pPr>
        <w:pStyle w:val="ConsPlusNormal"/>
        <w:jc w:val="right"/>
      </w:pPr>
      <w:r>
        <w:t>"Технический регламент</w:t>
      </w:r>
    </w:p>
    <w:p w:rsidR="00E45ACA" w:rsidRDefault="00E45ACA">
      <w:pPr>
        <w:pStyle w:val="ConsPlusNormal"/>
        <w:jc w:val="right"/>
      </w:pPr>
      <w:r>
        <w:t>на масложировую продукцию"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Title"/>
        <w:jc w:val="center"/>
      </w:pPr>
      <w:bookmarkStart w:id="17" w:name="P649"/>
      <w:bookmarkEnd w:id="17"/>
      <w:r>
        <w:lastRenderedPageBreak/>
        <w:t>НАИМЕНОВАНИЕ, ХАРАКТЕРИСТИКА И ПОКАЗАТЕЛИ</w:t>
      </w:r>
    </w:p>
    <w:p w:rsidR="00E45ACA" w:rsidRDefault="00E45ACA">
      <w:pPr>
        <w:pStyle w:val="ConsPlusTitle"/>
        <w:jc w:val="center"/>
      </w:pPr>
      <w:r>
        <w:t>БЕЗОПАСНОСТИ ОЛИВКОВЫХ МАСЕЛ</w:t>
      </w:r>
    </w:p>
    <w:p w:rsidR="00E45ACA" w:rsidRDefault="00E45AC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30"/>
        <w:gridCol w:w="8580"/>
      </w:tblGrid>
      <w:tr w:rsidR="00E45ACA"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Наименование оливкового масла</w:t>
            </w:r>
          </w:p>
        </w:tc>
        <w:tc>
          <w:tcPr>
            <w:tcW w:w="8580" w:type="dxa"/>
          </w:tcPr>
          <w:p w:rsidR="00E45ACA" w:rsidRDefault="00E45ACA">
            <w:pPr>
              <w:pStyle w:val="ConsPlusNormal"/>
              <w:jc w:val="center"/>
            </w:pPr>
            <w:r>
              <w:t>Характеристика и показатели безопасности</w:t>
            </w:r>
          </w:p>
        </w:tc>
      </w:tr>
      <w:tr w:rsidR="00E45ACA">
        <w:tc>
          <w:tcPr>
            <w:tcW w:w="3630" w:type="dxa"/>
          </w:tcPr>
          <w:p w:rsidR="00E45ACA" w:rsidRDefault="00E45ACA">
            <w:pPr>
              <w:pStyle w:val="ConsPlusNormal"/>
            </w:pPr>
            <w:r>
              <w:t>Масло оливковое нерафинированное высшего качества (Extra virgin olive oil)</w:t>
            </w:r>
          </w:p>
        </w:tc>
        <w:tc>
          <w:tcPr>
            <w:tcW w:w="8580" w:type="dxa"/>
          </w:tcPr>
          <w:p w:rsidR="00E45ACA" w:rsidRDefault="00E45ACA">
            <w:pPr>
              <w:pStyle w:val="ConsPlusNormal"/>
            </w:pPr>
            <w:r>
              <w:t>масло первого прессования (отжима) с кислотным числом не более 1,6 миллиграмма гидроокиси калия на грамм или кислотностью, составляющей не более 0,8 грамма на 100 грамм в пересчете на олеиновую кислоту, перекисным числом не более 20 мэкв/кг.</w:t>
            </w:r>
          </w:p>
        </w:tc>
      </w:tr>
      <w:tr w:rsidR="00E45ACA">
        <w:tc>
          <w:tcPr>
            <w:tcW w:w="3630" w:type="dxa"/>
          </w:tcPr>
          <w:p w:rsidR="00E45ACA" w:rsidRDefault="00E45ACA">
            <w:pPr>
              <w:pStyle w:val="ConsPlusNormal"/>
            </w:pPr>
            <w:r>
              <w:t>Масло оливковое нерафинированное (Virgin olive oil)</w:t>
            </w:r>
          </w:p>
        </w:tc>
        <w:tc>
          <w:tcPr>
            <w:tcW w:w="8580" w:type="dxa"/>
          </w:tcPr>
          <w:p w:rsidR="00E45ACA" w:rsidRDefault="00E45ACA">
            <w:pPr>
              <w:pStyle w:val="ConsPlusNormal"/>
            </w:pPr>
            <w:r>
              <w:t>масло первого прессования (отжима) с кислотным числом не более 4,0 миллиграмма гидроокиси калия на грамм или кислотностью, составляющей не более 2,0 грамма на 100 грамм в пересчете на олеиновую кислоту, перекисным числом не более 20 мэкв/кг.</w:t>
            </w:r>
          </w:p>
        </w:tc>
      </w:tr>
      <w:tr w:rsidR="00E45ACA">
        <w:tc>
          <w:tcPr>
            <w:tcW w:w="3630" w:type="dxa"/>
          </w:tcPr>
          <w:p w:rsidR="00E45ACA" w:rsidRDefault="00E45ACA">
            <w:pPr>
              <w:pStyle w:val="ConsPlusNormal"/>
            </w:pPr>
            <w:r>
              <w:t>Масло оливковое рафинированное (Refined olive oil)</w:t>
            </w:r>
          </w:p>
        </w:tc>
        <w:tc>
          <w:tcPr>
            <w:tcW w:w="8580" w:type="dxa"/>
          </w:tcPr>
          <w:p w:rsidR="00E45ACA" w:rsidRDefault="00E45ACA">
            <w:pPr>
              <w:pStyle w:val="ConsPlusNormal"/>
            </w:pPr>
            <w:r>
              <w:t>оливковое масло, полученное из масел первого прессования (отжима), прошедшее процесс рафинации, но не подвергнутое процессам, которые ведут к изменениям исходной триглицеридной структуры с кислотным числом не более 0,6 миллиграмма гидроокиси калия на грамм или кислотностью, составляющей не более 0,3 грамма на 100 грамм в пересчете на олеиновую кислоту, перекисным числом не более 5 мэкв/кг</w:t>
            </w:r>
          </w:p>
        </w:tc>
      </w:tr>
      <w:tr w:rsidR="00E45ACA">
        <w:tc>
          <w:tcPr>
            <w:tcW w:w="3630" w:type="dxa"/>
          </w:tcPr>
          <w:p w:rsidR="00E45ACA" w:rsidRDefault="00E45ACA">
            <w:pPr>
              <w:pStyle w:val="ConsPlusNormal"/>
            </w:pPr>
            <w:r>
              <w:t>Масло оливковое рафинированное с добавлением масел оливковых нерафинированных (Olive oil)</w:t>
            </w:r>
          </w:p>
        </w:tc>
        <w:tc>
          <w:tcPr>
            <w:tcW w:w="8580" w:type="dxa"/>
          </w:tcPr>
          <w:p w:rsidR="00E45ACA" w:rsidRDefault="00E45ACA">
            <w:pPr>
              <w:pStyle w:val="ConsPlusNormal"/>
            </w:pPr>
            <w:r>
              <w:t>масло, представляющее собой смесь рафинированного оливкового масла и оливковых масел первого прессования (отжима), с кислотным числом смеси не более 2,0 миллиграмма гидроокиси калия на грамм или кислотностью, составляющей не более 1,0 грамма на 100 грамм в пересчете на олеиновую кислоту, перекисным числом смеси не более 15 мэкв/кг</w:t>
            </w:r>
          </w:p>
        </w:tc>
      </w:tr>
      <w:tr w:rsidR="00E45ACA">
        <w:tc>
          <w:tcPr>
            <w:tcW w:w="3630" w:type="dxa"/>
          </w:tcPr>
          <w:p w:rsidR="00E45ACA" w:rsidRDefault="00E45ACA">
            <w:pPr>
              <w:pStyle w:val="ConsPlusNormal"/>
            </w:pPr>
            <w:r>
              <w:t>Масло оливковое из выжимок рафинированное (Refined olive-pomace oil)</w:t>
            </w:r>
          </w:p>
        </w:tc>
        <w:tc>
          <w:tcPr>
            <w:tcW w:w="8580" w:type="dxa"/>
          </w:tcPr>
          <w:p w:rsidR="00E45ACA" w:rsidRDefault="00E45ACA">
            <w:pPr>
              <w:pStyle w:val="ConsPlusNormal"/>
            </w:pPr>
            <w:r>
              <w:t>масло, полученное из сырого оливкового масла из выжимок, прошедшее процесс рафинации, но не подвергнутое процессам, которые ведут к изменениям исходной триглицеридной структуры, с кислотным числом не более 0,6 миллиграмма гидроокиси калия на грамм или кислотностью, составляющей не более 0,3 грамма на 100 грамм в пересчете на олеиновую кислоту, перекисным числом не более 5 мэкв/кг</w:t>
            </w:r>
          </w:p>
        </w:tc>
      </w:tr>
      <w:tr w:rsidR="00E45ACA">
        <w:tc>
          <w:tcPr>
            <w:tcW w:w="3630" w:type="dxa"/>
          </w:tcPr>
          <w:p w:rsidR="00E45ACA" w:rsidRDefault="00E45ACA">
            <w:pPr>
              <w:pStyle w:val="ConsPlusNormal"/>
            </w:pPr>
            <w:r>
              <w:t>Масло оливковое из выжимок рафинированное с добавлением масла оливкового нерафинированного (Olive-pomace oil)</w:t>
            </w:r>
          </w:p>
        </w:tc>
        <w:tc>
          <w:tcPr>
            <w:tcW w:w="8580" w:type="dxa"/>
          </w:tcPr>
          <w:p w:rsidR="00E45ACA" w:rsidRDefault="00E45ACA">
            <w:pPr>
              <w:pStyle w:val="ConsPlusNormal"/>
            </w:pPr>
            <w:r>
              <w:t>масло, представляющее собой смесь рафинированного оливкового масла из выжимок и оливковых масел первого прессования (отжима), с кислотным числом смеси не более 2,0 миллиграмма гидроокиси калия на грамма или кислотностью, составляющей не более 1,0 грамм на 100 грамм в пересчете на олеиновую кислоту, перекисным числом смеси не более 15 мэкв/кг</w:t>
            </w:r>
          </w:p>
        </w:tc>
      </w:tr>
    </w:tbl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jc w:val="right"/>
        <w:outlineLvl w:val="1"/>
      </w:pPr>
      <w:r>
        <w:t>Приложение 4</w:t>
      </w:r>
    </w:p>
    <w:p w:rsidR="00E45ACA" w:rsidRDefault="00E45ACA">
      <w:pPr>
        <w:pStyle w:val="ConsPlusNormal"/>
        <w:jc w:val="right"/>
      </w:pPr>
      <w:r>
        <w:t>к техническому регламенту</w:t>
      </w:r>
    </w:p>
    <w:p w:rsidR="00E45ACA" w:rsidRDefault="00E45ACA">
      <w:pPr>
        <w:pStyle w:val="ConsPlusNormal"/>
        <w:jc w:val="right"/>
      </w:pPr>
      <w:r>
        <w:t>"Технический регламент</w:t>
      </w:r>
    </w:p>
    <w:p w:rsidR="00E45ACA" w:rsidRDefault="00E45ACA">
      <w:pPr>
        <w:pStyle w:val="ConsPlusNormal"/>
        <w:jc w:val="right"/>
      </w:pPr>
      <w:r>
        <w:t>на масложировую продукцию"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Title"/>
        <w:jc w:val="center"/>
      </w:pPr>
      <w:bookmarkStart w:id="18" w:name="P676"/>
      <w:bookmarkEnd w:id="18"/>
      <w:r>
        <w:t>НАИМЕНОВАНИЕ</w:t>
      </w:r>
    </w:p>
    <w:p w:rsidR="00E45ACA" w:rsidRDefault="00E45ACA">
      <w:pPr>
        <w:pStyle w:val="ConsPlusTitle"/>
        <w:jc w:val="center"/>
      </w:pPr>
      <w:r>
        <w:t>РАСТИТЕЛЬНЫХ МАСЕЛ В ЗАВИСИМОСТИ ОТ ВИДА МАСЛИЧНОГО СЫРЬЯ</w:t>
      </w:r>
    </w:p>
    <w:p w:rsidR="00E45ACA" w:rsidRDefault="00E45AC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4290"/>
        <w:gridCol w:w="3465"/>
        <w:gridCol w:w="3630"/>
      </w:tblGrid>
      <w:tr w:rsidR="00E45ACA">
        <w:tc>
          <w:tcPr>
            <w:tcW w:w="825" w:type="dxa"/>
          </w:tcPr>
          <w:p w:rsidR="00E45ACA" w:rsidRDefault="00E45ACA">
            <w:pPr>
              <w:pStyle w:val="ConsPlusNormal"/>
              <w:jc w:val="center"/>
            </w:pPr>
            <w:r>
              <w:t>N</w:t>
            </w:r>
          </w:p>
          <w:p w:rsidR="00E45ACA" w:rsidRDefault="00E45ACA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Ботаническое название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Название сырья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Название масла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1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Aleurites fordii Hemsley Vemicia montana, Loureiro syn. Aleurites montana (Loureiro) Wilson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Тунг, орехи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Тунговое масло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2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Aleurites moluccana (Linnaeus), Willdenow syn. Аleurites triloba, Juglans regia Linnaeus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Орех грецкий (семена)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Масло грецкого ореха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3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Arachis hypogaea Linnaeus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Арахис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Арахисовое масло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4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Attalea speciosa Martius, syn. Orbignya speciosa (Martius) Barbosa Rodrigues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Орбиния, Бабассу (семена)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Масло бабассу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5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Brassica juncea (Linnaeus) Czernajew et Cosson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Горчица коричневая (семена) Горчица индийская (семена)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Горчичное масло, коричневое Горчичное масло, индийское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6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Brassica napus Linnaeus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Рапс (семена)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Рапсовое масло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7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Brassica nigra (Linnaeus) W.D.J. Koch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Горчица черная (семена)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Горчичное масло, черное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8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Brassica rapa Linnaeus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Сурепица (семена)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Сурепное масло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9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Camelina sativa (Linnaeus), Crantz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Рыжик (семена)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Рыжиковое масло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10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Cannabis sativa Linnaeus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Конопля (семена)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Конопляное масло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11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Carthamus tinctorius Linnaeus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Сафлор (семена)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Сафлоровое масло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12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 xml:space="preserve">Citrullus lanatus (Thumb.), Matsum et Nakai, </w:t>
            </w:r>
            <w:r>
              <w:lastRenderedPageBreak/>
              <w:t>Citrullus spp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lastRenderedPageBreak/>
              <w:t>Арбуз (семена)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Арбузное масло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lastRenderedPageBreak/>
              <w:t>13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Cocos nucifera Linnaeus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Копра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Кокосовое масло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14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Corylus avellana Linnaeus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Лещина (семена), лесной орех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Лещиновое масло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15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Coriandrum sativum Linnaeus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Кориандр (семена)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Масло кориандровое жирное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16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Crambe abyssinica, Hochstetter ex R.E. Fries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Крамбе (семена)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Масло крамбе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17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Cucurbita maxima, А.Н. Duchesne, Cucurbita pepo Linnaeus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Тыква (семена)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Тыквенное масло</w:t>
            </w:r>
          </w:p>
        </w:tc>
      </w:tr>
      <w:tr w:rsidR="00E45ACA">
        <w:tc>
          <w:tcPr>
            <w:tcW w:w="825" w:type="dxa"/>
            <w:vMerge w:val="restart"/>
          </w:tcPr>
          <w:p w:rsidR="00E45ACA" w:rsidRDefault="00E45ACA">
            <w:pPr>
              <w:pStyle w:val="ConsPlusNormal"/>
            </w:pPr>
            <w:r>
              <w:t>18</w:t>
            </w:r>
          </w:p>
          <w:p w:rsidR="00E45ACA" w:rsidRDefault="00E45ACA">
            <w:pPr>
              <w:pStyle w:val="ConsPlusNormal"/>
            </w:pPr>
          </w:p>
          <w:p w:rsidR="00E45ACA" w:rsidRDefault="00E45ACA">
            <w:pPr>
              <w:pStyle w:val="ConsPlusNormal"/>
            </w:pPr>
          </w:p>
          <w:p w:rsidR="00E45ACA" w:rsidRDefault="00E45ACA">
            <w:pPr>
              <w:pStyle w:val="ConsPlusNormal"/>
            </w:pPr>
            <w:r>
              <w:t>19</w:t>
            </w:r>
          </w:p>
        </w:tc>
        <w:tc>
          <w:tcPr>
            <w:tcW w:w="4290" w:type="dxa"/>
            <w:vMerge w:val="restart"/>
          </w:tcPr>
          <w:p w:rsidR="00E45ACA" w:rsidRDefault="00E45ACA">
            <w:pPr>
              <w:pStyle w:val="ConsPlusNormal"/>
              <w:jc w:val="center"/>
            </w:pPr>
            <w:r>
              <w:t>Elaeis guineensis N. J. Jacquin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Пальма масличная (перикарпий плода)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Пальмовое масло</w:t>
            </w:r>
          </w:p>
        </w:tc>
      </w:tr>
      <w:tr w:rsidR="00E45ACA">
        <w:tc>
          <w:tcPr>
            <w:tcW w:w="825" w:type="dxa"/>
            <w:vMerge/>
          </w:tcPr>
          <w:p w:rsidR="00E45ACA" w:rsidRDefault="00E45ACA">
            <w:pPr>
              <w:pStyle w:val="ConsPlusNormal"/>
            </w:pPr>
          </w:p>
        </w:tc>
        <w:tc>
          <w:tcPr>
            <w:tcW w:w="4290" w:type="dxa"/>
            <w:vMerge/>
          </w:tcPr>
          <w:p w:rsidR="00E45ACA" w:rsidRDefault="00E45ACA">
            <w:pPr>
              <w:pStyle w:val="ConsPlusNormal"/>
            </w:pP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Пальма масличная (семя костянки)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Пальмоядровое масло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20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Elaeis oleifera (Kunth) Cortes syn. Elaeis melanococca auctores non Gaerther, syn. Alfonsia oleifera Kunth, syn. Corozo oleifera (Kunth) L. Bailey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Южноамериканское пальмовое ядро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Южноамериканское пальмоядровое масло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21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Fagus sylvatica Linnaeus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Бук (орех)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Буковое масло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22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Garcinia indica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Гарциния (семена)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Кокум масло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23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Glycine max (Linnaеus) Merrill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Соя (семена)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Соевое масло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24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Gossypium spp.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Хлопчатник (семена)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Хлопковое масло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25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Helianthus annuus Linnaeus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Подсолнечник (семена)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Подсолнечное масло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26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Licania rigida Bentham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Ойтисика (семена)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Ойтисиковое масло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27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Linum usitatissimum Linnaeus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Лен (семена)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Льняное масло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28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Lycopersicon lуcopersiсum (Linnaeus), Karsten ex Farwell syn. Lycopersicon esculentum P. Miller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Томат (семена)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Томатное масло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lastRenderedPageBreak/>
              <w:t>29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Lallemantia iberica Labiatae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Ляллеманция (семена)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Ляллеманциевое масло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30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Madhuca longifolia (Linnaeus) Macbride, syn. Bassia longifolia Linnaeus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Мадука (семена)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Масло эллипе индийское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31</w:t>
            </w:r>
          </w:p>
        </w:tc>
        <w:tc>
          <w:tcPr>
            <w:tcW w:w="4290" w:type="dxa"/>
            <w:vMerge w:val="restart"/>
          </w:tcPr>
          <w:p w:rsidR="00E45ACA" w:rsidRDefault="00E45ACA">
            <w:pPr>
              <w:pStyle w:val="ConsPlusNormal"/>
              <w:jc w:val="center"/>
            </w:pPr>
            <w:r>
              <w:t>Mangifera indica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Мангифера индийская (манго) (перикарпий)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Масло манго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32</w:t>
            </w:r>
          </w:p>
        </w:tc>
        <w:tc>
          <w:tcPr>
            <w:tcW w:w="4290" w:type="dxa"/>
            <w:vMerge/>
          </w:tcPr>
          <w:p w:rsidR="00E45ACA" w:rsidRDefault="00E45ACA">
            <w:pPr>
              <w:pStyle w:val="ConsPlusNormal"/>
            </w:pP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Мангифера индийская (манго) (семя костянки)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Масло ядер манго</w:t>
            </w:r>
          </w:p>
        </w:tc>
      </w:tr>
      <w:tr w:rsidR="00E45ACA">
        <w:tc>
          <w:tcPr>
            <w:tcW w:w="825" w:type="dxa"/>
            <w:vMerge w:val="restart"/>
          </w:tcPr>
          <w:p w:rsidR="00E45ACA" w:rsidRDefault="00E45ACA">
            <w:pPr>
              <w:pStyle w:val="ConsPlusNormal"/>
            </w:pPr>
            <w:r>
              <w:t>33</w:t>
            </w:r>
          </w:p>
          <w:p w:rsidR="00E45ACA" w:rsidRDefault="00E45ACA">
            <w:pPr>
              <w:pStyle w:val="ConsPlusNormal"/>
            </w:pPr>
          </w:p>
          <w:p w:rsidR="00E45ACA" w:rsidRDefault="00E45ACA">
            <w:pPr>
              <w:pStyle w:val="ConsPlusNormal"/>
            </w:pPr>
          </w:p>
          <w:p w:rsidR="00E45ACA" w:rsidRDefault="00E45ACA">
            <w:pPr>
              <w:pStyle w:val="ConsPlusNormal"/>
            </w:pPr>
            <w:r>
              <w:t>34</w:t>
            </w:r>
          </w:p>
        </w:tc>
        <w:tc>
          <w:tcPr>
            <w:tcW w:w="4290" w:type="dxa"/>
            <w:vMerge w:val="restart"/>
          </w:tcPr>
          <w:p w:rsidR="00E45ACA" w:rsidRDefault="00E45ACA">
            <w:pPr>
              <w:pStyle w:val="ConsPlusNormal"/>
              <w:jc w:val="center"/>
            </w:pPr>
            <w:r>
              <w:t>Olea europaea Linnaeus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Оливка, Маслина (перикарпий)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Оливковое масло</w:t>
            </w:r>
          </w:p>
        </w:tc>
      </w:tr>
      <w:tr w:rsidR="00E45ACA">
        <w:tc>
          <w:tcPr>
            <w:tcW w:w="825" w:type="dxa"/>
            <w:vMerge/>
          </w:tcPr>
          <w:p w:rsidR="00E45ACA" w:rsidRDefault="00E45ACA">
            <w:pPr>
              <w:pStyle w:val="ConsPlusNormal"/>
            </w:pPr>
          </w:p>
        </w:tc>
        <w:tc>
          <w:tcPr>
            <w:tcW w:w="4290" w:type="dxa"/>
            <w:vMerge/>
          </w:tcPr>
          <w:p w:rsidR="00E45ACA" w:rsidRDefault="00E45ACA">
            <w:pPr>
              <w:pStyle w:val="ConsPlusNormal"/>
            </w:pP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Оливка (ядро)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Оливковое масло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35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Ongokea gorea (Hua) Engler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Болеко (орехи)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Масло болеко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36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Orbignya oleifera Burret Orbignya huebneri Burret Orbignya martiana Barbosa Rodrigues syn. Orbignya speciosa (Martius) Barbosa Rodrigues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Бабассу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Масло бабассу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37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Oryza sativa Linnaeus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Рис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Рисовое масло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38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Papaver somniferum Linnaeus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Мак (семена)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Маковое масло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39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Perilla frutescens (Linnaeus) Britton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Перилла (семена)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Перилловое масло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40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Persea americana P. Miller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Авокадо американское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Масло авокадо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41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Prunus armeniaca Linnaeus syn. Armeniaca vulgaris Lamarck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Абрикос (семя костянки)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Абрикосовое масло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42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Prunus domestica Linnaeus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Слива (семя костянки)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Сливовое масло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43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Prunus dulcis (Miller) D.A. Webb var. amara (De Candolle) Buchheim syn. Prunus amygdalus Batsch var. amara (De Candolle) Focke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Миндаль горький (орехи)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Миндальное масло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lastRenderedPageBreak/>
              <w:t>44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Prunus persica (Linnaeus) Batsch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Персик (семя костянки)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Персиковое масло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45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Prunus cerasus Linnaeus Rosaceae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Вишня (семя костянки)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Вишневое масло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46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Pinus cembra L.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Кедр (орехи)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Кедровое масло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47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Ricinus communis Linnaeus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Клещевина (семена)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Касторовое масло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48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Sesamum indicum Linnaeus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Кунжут (семена)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Кунжутное масло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49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Shorea macrophylla (De Vries) Ashton Shorea stenoptera Burc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Шорея (перикарпий)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Масло борнео/Масло эллипе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50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Shorea robusta, Gaertner, C.F.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Шорея (перикарпий)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Масло сал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51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Simmondsia chinensis Link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Жожоба (семена)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Масло жожоба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52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Sinapis alba Linnaeus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Горчица белая (семена)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Масло белой горчицы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53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Sinapis arvensis Linnaeus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Горчица полевая (семена)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Масло полевой горчицы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54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Triticum aestivum, Linnaeus emend. Fiori et Paoletti Triticum sativa Lam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Пшеница мягкая (зерновки)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Пшеничное масло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55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Triticum durum Desfontaines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Пшеница твердая (зерновки)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Пшеничное масло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56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Vitellaria paradoxa, Gaerth. f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Бутироспермум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Масло ши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57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Vitis vinifera Linnaeus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Виноград (семена)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Виноградное масло</w:t>
            </w:r>
          </w:p>
        </w:tc>
      </w:tr>
      <w:tr w:rsidR="00E45ACA">
        <w:tc>
          <w:tcPr>
            <w:tcW w:w="825" w:type="dxa"/>
          </w:tcPr>
          <w:p w:rsidR="00E45ACA" w:rsidRDefault="00E45ACA">
            <w:pPr>
              <w:pStyle w:val="ConsPlusNormal"/>
            </w:pPr>
            <w:r>
              <w:t>58</w:t>
            </w:r>
          </w:p>
        </w:tc>
        <w:tc>
          <w:tcPr>
            <w:tcW w:w="4290" w:type="dxa"/>
          </w:tcPr>
          <w:p w:rsidR="00E45ACA" w:rsidRDefault="00E45ACA">
            <w:pPr>
              <w:pStyle w:val="ConsPlusNormal"/>
              <w:jc w:val="center"/>
            </w:pPr>
            <w:r>
              <w:t>Zea mays Linnaeus</w:t>
            </w:r>
          </w:p>
        </w:tc>
        <w:tc>
          <w:tcPr>
            <w:tcW w:w="3465" w:type="dxa"/>
          </w:tcPr>
          <w:p w:rsidR="00E45ACA" w:rsidRDefault="00E45ACA">
            <w:pPr>
              <w:pStyle w:val="ConsPlusNormal"/>
              <w:jc w:val="center"/>
            </w:pPr>
            <w:r>
              <w:t>Кукуруза (семена)</w:t>
            </w:r>
          </w:p>
        </w:tc>
        <w:tc>
          <w:tcPr>
            <w:tcW w:w="3630" w:type="dxa"/>
          </w:tcPr>
          <w:p w:rsidR="00E45ACA" w:rsidRDefault="00E45ACA">
            <w:pPr>
              <w:pStyle w:val="ConsPlusNormal"/>
              <w:jc w:val="center"/>
            </w:pPr>
            <w:r>
              <w:t>Кукурузное масло</w:t>
            </w:r>
          </w:p>
        </w:tc>
      </w:tr>
    </w:tbl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jc w:val="right"/>
        <w:outlineLvl w:val="1"/>
      </w:pPr>
      <w:r>
        <w:t>Приложение 5</w:t>
      </w:r>
    </w:p>
    <w:p w:rsidR="00E45ACA" w:rsidRDefault="00E45ACA">
      <w:pPr>
        <w:pStyle w:val="ConsPlusNormal"/>
        <w:jc w:val="right"/>
      </w:pPr>
      <w:r>
        <w:t>к техническому регламенту</w:t>
      </w:r>
    </w:p>
    <w:p w:rsidR="00E45ACA" w:rsidRDefault="00E45ACA">
      <w:pPr>
        <w:pStyle w:val="ConsPlusNormal"/>
        <w:jc w:val="right"/>
      </w:pPr>
      <w:r>
        <w:t>"Технический регламент</w:t>
      </w:r>
    </w:p>
    <w:p w:rsidR="00E45ACA" w:rsidRDefault="00E45ACA">
      <w:pPr>
        <w:pStyle w:val="ConsPlusNormal"/>
        <w:jc w:val="right"/>
      </w:pPr>
      <w:r>
        <w:t>на масложировую продукцию"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Title"/>
        <w:jc w:val="center"/>
      </w:pPr>
      <w:bookmarkStart w:id="19" w:name="P927"/>
      <w:bookmarkEnd w:id="19"/>
      <w:r>
        <w:t>ТРЕБОВАНИЯ</w:t>
      </w:r>
    </w:p>
    <w:p w:rsidR="00E45ACA" w:rsidRDefault="00E45ACA">
      <w:pPr>
        <w:pStyle w:val="ConsPlusTitle"/>
        <w:jc w:val="center"/>
      </w:pPr>
      <w:r>
        <w:t>К ДОПУСТИМЫМ УРОВНЯМ ПОКАЗАТЕЛЕЙ БЕЗОПАСНОСТИ НЕПИЩЕВОЙ</w:t>
      </w:r>
    </w:p>
    <w:p w:rsidR="00E45ACA" w:rsidRDefault="00E45ACA">
      <w:pPr>
        <w:pStyle w:val="ConsPlusTitle"/>
        <w:jc w:val="center"/>
      </w:pPr>
      <w:r>
        <w:t>МАСЛОЖИРОВОЙ ПРОДУКЦИИ</w:t>
      </w:r>
    </w:p>
    <w:p w:rsidR="00E45ACA" w:rsidRDefault="00E45AC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5"/>
        <w:gridCol w:w="3795"/>
        <w:gridCol w:w="2970"/>
        <w:gridCol w:w="2970"/>
      </w:tblGrid>
      <w:tr w:rsidR="00E45ACA">
        <w:tc>
          <w:tcPr>
            <w:tcW w:w="2475" w:type="dxa"/>
          </w:tcPr>
          <w:p w:rsidR="00E45ACA" w:rsidRDefault="00E45ACA">
            <w:pPr>
              <w:pStyle w:val="ConsPlusNormal"/>
              <w:jc w:val="center"/>
            </w:pPr>
            <w:r>
              <w:t>Группа продуктов</w:t>
            </w:r>
          </w:p>
        </w:tc>
        <w:tc>
          <w:tcPr>
            <w:tcW w:w="3795" w:type="dxa"/>
          </w:tcPr>
          <w:p w:rsidR="00E45ACA" w:rsidRDefault="00E45ACA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2970" w:type="dxa"/>
          </w:tcPr>
          <w:p w:rsidR="00E45ACA" w:rsidRDefault="00E45ACA">
            <w:pPr>
              <w:pStyle w:val="ConsPlusNormal"/>
              <w:jc w:val="center"/>
            </w:pPr>
            <w:r>
              <w:t>Допустимые</w:t>
            </w:r>
          </w:p>
          <w:p w:rsidR="00E45ACA" w:rsidRDefault="00E45ACA">
            <w:pPr>
              <w:pStyle w:val="ConsPlusNormal"/>
              <w:jc w:val="center"/>
            </w:pPr>
            <w:r>
              <w:t>уровни, не более</w:t>
            </w:r>
          </w:p>
        </w:tc>
        <w:tc>
          <w:tcPr>
            <w:tcW w:w="2970" w:type="dxa"/>
          </w:tcPr>
          <w:p w:rsidR="00E45ACA" w:rsidRDefault="00E45ACA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E45ACA">
        <w:tc>
          <w:tcPr>
            <w:tcW w:w="2475" w:type="dxa"/>
            <w:vMerge w:val="restart"/>
          </w:tcPr>
          <w:p w:rsidR="00E45ACA" w:rsidRDefault="00E45ACA">
            <w:pPr>
              <w:pStyle w:val="ConsPlusNormal"/>
            </w:pPr>
            <w:r>
              <w:t>Глицерин натуральный сырой</w:t>
            </w:r>
          </w:p>
        </w:tc>
        <w:tc>
          <w:tcPr>
            <w:tcW w:w="3795" w:type="dxa"/>
          </w:tcPr>
          <w:p w:rsidR="00E45ACA" w:rsidRDefault="00E45ACA">
            <w:pPr>
              <w:pStyle w:val="ConsPlusNormal"/>
            </w:pPr>
            <w:r>
              <w:t>Белковые вещества (качественная реакция)</w:t>
            </w:r>
          </w:p>
        </w:tc>
        <w:tc>
          <w:tcPr>
            <w:tcW w:w="2970" w:type="dxa"/>
          </w:tcPr>
          <w:p w:rsidR="00E45ACA" w:rsidRDefault="00E45ACA">
            <w:pPr>
              <w:pStyle w:val="ConsPlusNormal"/>
              <w:jc w:val="center"/>
            </w:pPr>
            <w:r>
              <w:t>Отсутствие</w:t>
            </w:r>
          </w:p>
          <w:p w:rsidR="00E45ACA" w:rsidRDefault="00E45ACA">
            <w:pPr>
              <w:pStyle w:val="ConsPlusNormal"/>
              <w:jc w:val="center"/>
            </w:pPr>
            <w:r>
              <w:t>Не нормируется</w:t>
            </w:r>
          </w:p>
        </w:tc>
        <w:tc>
          <w:tcPr>
            <w:tcW w:w="2970" w:type="dxa"/>
          </w:tcPr>
          <w:p w:rsidR="00E45ACA" w:rsidRDefault="00E45ACA">
            <w:pPr>
              <w:pStyle w:val="ConsPlusNormal"/>
            </w:pPr>
            <w:r>
              <w:t>Для глицерина третьего сорта марки 2</w:t>
            </w:r>
          </w:p>
        </w:tc>
      </w:tr>
      <w:tr w:rsidR="00E45ACA">
        <w:tc>
          <w:tcPr>
            <w:tcW w:w="2475" w:type="dxa"/>
            <w:vMerge/>
          </w:tcPr>
          <w:p w:rsidR="00E45ACA" w:rsidRDefault="00E45ACA">
            <w:pPr>
              <w:pStyle w:val="ConsPlusNormal"/>
            </w:pPr>
          </w:p>
        </w:tc>
        <w:tc>
          <w:tcPr>
            <w:tcW w:w="3795" w:type="dxa"/>
          </w:tcPr>
          <w:p w:rsidR="00E45ACA" w:rsidRDefault="00E45ACA">
            <w:pPr>
              <w:pStyle w:val="ConsPlusNormal"/>
            </w:pPr>
            <w:r>
              <w:t>Сернокислые соединения (сульфаты) (качественная реакция)</w:t>
            </w:r>
          </w:p>
        </w:tc>
        <w:tc>
          <w:tcPr>
            <w:tcW w:w="2970" w:type="dxa"/>
          </w:tcPr>
          <w:p w:rsidR="00E45ACA" w:rsidRDefault="00E45ACA">
            <w:pPr>
              <w:pStyle w:val="ConsPlusNormal"/>
              <w:jc w:val="center"/>
            </w:pPr>
            <w:r>
              <w:t>Отсутствие</w:t>
            </w:r>
          </w:p>
          <w:p w:rsidR="00E45ACA" w:rsidRDefault="00E45ACA">
            <w:pPr>
              <w:pStyle w:val="ConsPlusNormal"/>
              <w:jc w:val="center"/>
            </w:pPr>
            <w:r>
              <w:t>Следы</w:t>
            </w:r>
          </w:p>
        </w:tc>
        <w:tc>
          <w:tcPr>
            <w:tcW w:w="2970" w:type="dxa"/>
          </w:tcPr>
          <w:p w:rsidR="00E45ACA" w:rsidRDefault="00E45ACA">
            <w:pPr>
              <w:pStyle w:val="ConsPlusNormal"/>
            </w:pPr>
            <w:r>
              <w:t>Для глицерина третьего сорта марки 2</w:t>
            </w:r>
          </w:p>
        </w:tc>
      </w:tr>
      <w:tr w:rsidR="00E45ACA">
        <w:tc>
          <w:tcPr>
            <w:tcW w:w="2475" w:type="dxa"/>
            <w:vMerge w:val="restart"/>
          </w:tcPr>
          <w:p w:rsidR="00E45ACA" w:rsidRDefault="00E45ACA">
            <w:pPr>
              <w:pStyle w:val="ConsPlusNormal"/>
            </w:pPr>
            <w:r>
              <w:t>Мыло хозяйственное</w:t>
            </w:r>
          </w:p>
        </w:tc>
        <w:tc>
          <w:tcPr>
            <w:tcW w:w="3795" w:type="dxa"/>
          </w:tcPr>
          <w:p w:rsidR="00E45ACA" w:rsidRDefault="00E45ACA">
            <w:pPr>
              <w:pStyle w:val="ConsPlusNormal"/>
            </w:pPr>
            <w:r>
              <w:t>Массовая доля свободной едкой щелочи</w:t>
            </w:r>
          </w:p>
        </w:tc>
        <w:tc>
          <w:tcPr>
            <w:tcW w:w="2970" w:type="dxa"/>
          </w:tcPr>
          <w:p w:rsidR="00E45ACA" w:rsidRDefault="00E45ACA">
            <w:pPr>
              <w:pStyle w:val="ConsPlusNormal"/>
              <w:jc w:val="center"/>
            </w:pPr>
            <w:r>
              <w:t>0,2 процента</w:t>
            </w:r>
          </w:p>
        </w:tc>
        <w:tc>
          <w:tcPr>
            <w:tcW w:w="2970" w:type="dxa"/>
          </w:tcPr>
          <w:p w:rsidR="00E45ACA" w:rsidRDefault="00E45ACA">
            <w:pPr>
              <w:pStyle w:val="ConsPlusNormal"/>
              <w:jc w:val="center"/>
            </w:pPr>
          </w:p>
        </w:tc>
      </w:tr>
      <w:tr w:rsidR="00E45ACA">
        <w:tc>
          <w:tcPr>
            <w:tcW w:w="2475" w:type="dxa"/>
            <w:vMerge/>
          </w:tcPr>
          <w:p w:rsidR="00E45ACA" w:rsidRDefault="00E45ACA">
            <w:pPr>
              <w:pStyle w:val="ConsPlusNormal"/>
            </w:pPr>
          </w:p>
        </w:tc>
        <w:tc>
          <w:tcPr>
            <w:tcW w:w="3795" w:type="dxa"/>
          </w:tcPr>
          <w:p w:rsidR="00E45ACA" w:rsidRDefault="00E45ACA">
            <w:pPr>
              <w:pStyle w:val="ConsPlusNormal"/>
            </w:pPr>
            <w:r>
              <w:t>Массовая доля свободной углекислой соды</w:t>
            </w:r>
          </w:p>
        </w:tc>
        <w:tc>
          <w:tcPr>
            <w:tcW w:w="2970" w:type="dxa"/>
          </w:tcPr>
          <w:p w:rsidR="00E45ACA" w:rsidRDefault="00E45ACA">
            <w:pPr>
              <w:pStyle w:val="ConsPlusNormal"/>
              <w:jc w:val="center"/>
            </w:pPr>
            <w:r>
              <w:t>1,0 процента</w:t>
            </w:r>
          </w:p>
        </w:tc>
        <w:tc>
          <w:tcPr>
            <w:tcW w:w="2970" w:type="dxa"/>
          </w:tcPr>
          <w:p w:rsidR="00E45ACA" w:rsidRDefault="00E45ACA">
            <w:pPr>
              <w:pStyle w:val="ConsPlusNormal"/>
              <w:jc w:val="center"/>
            </w:pPr>
          </w:p>
        </w:tc>
      </w:tr>
    </w:tbl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jc w:val="center"/>
      </w:pPr>
      <w:r>
        <w:t>Члены Комиссии Таможенного союза: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Cell"/>
        <w:jc w:val="both"/>
      </w:pPr>
      <w:r>
        <w:t xml:space="preserve">    От Республики              От Республики              От Российской</w:t>
      </w:r>
    </w:p>
    <w:p w:rsidR="00E45ACA" w:rsidRDefault="00E45ACA">
      <w:pPr>
        <w:pStyle w:val="ConsPlusCell"/>
        <w:jc w:val="both"/>
      </w:pPr>
      <w:r>
        <w:t xml:space="preserve">       Беларусь                   Казахстан                 Федерации</w:t>
      </w:r>
    </w:p>
    <w:p w:rsidR="00E45ACA" w:rsidRDefault="00E45ACA">
      <w:pPr>
        <w:pStyle w:val="ConsPlusCell"/>
        <w:jc w:val="both"/>
      </w:pPr>
      <w:r>
        <w:t xml:space="preserve">       С.РУМАС                    У.ШУКЕЕВ                  И.ШУВАЛОВ</w:t>
      </w:r>
    </w:p>
    <w:p w:rsidR="00E45ACA" w:rsidRDefault="00E45ACA">
      <w:pPr>
        <w:pStyle w:val="ConsPlusNormal"/>
        <w:sectPr w:rsidR="00E45AC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jc w:val="right"/>
        <w:outlineLvl w:val="0"/>
      </w:pPr>
      <w:r>
        <w:t>Утвержден</w:t>
      </w:r>
    </w:p>
    <w:p w:rsidR="00E45ACA" w:rsidRDefault="00E45ACA">
      <w:pPr>
        <w:pStyle w:val="ConsPlusNormal"/>
        <w:jc w:val="right"/>
      </w:pPr>
      <w:r>
        <w:t>Решением Комиссии Таможенного союза</w:t>
      </w:r>
    </w:p>
    <w:p w:rsidR="00E45ACA" w:rsidRDefault="00E45ACA">
      <w:pPr>
        <w:pStyle w:val="ConsPlusNormal"/>
        <w:jc w:val="right"/>
      </w:pPr>
      <w:r>
        <w:t>от 9 декабря 2011 г. N 883</w:t>
      </w:r>
    </w:p>
    <w:p w:rsidR="00E45ACA" w:rsidRDefault="00E45ACA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E45AC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5ACA" w:rsidRDefault="00E45AC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5ACA" w:rsidRDefault="00E45AC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5ACA" w:rsidRDefault="00E45AC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45ACA" w:rsidRDefault="00E45ACA">
            <w:pPr>
              <w:pStyle w:val="ConsPlusNormal"/>
              <w:jc w:val="both"/>
            </w:pPr>
            <w:r>
              <w:rPr>
                <w:color w:val="392C69"/>
              </w:rPr>
              <w:t xml:space="preserve">Решением Коллегии ЕЭК от 29.03.2022 N 53 утвержден новый </w:t>
            </w:r>
            <w:hyperlink r:id="rId32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5ACA" w:rsidRDefault="00E45ACA">
            <w:pPr>
              <w:pStyle w:val="ConsPlusNormal"/>
            </w:pPr>
          </w:p>
        </w:tc>
      </w:tr>
    </w:tbl>
    <w:p w:rsidR="00E45ACA" w:rsidRDefault="00E45ACA">
      <w:pPr>
        <w:pStyle w:val="ConsPlusTitle"/>
        <w:spacing w:before="260"/>
        <w:jc w:val="center"/>
      </w:pPr>
      <w:r>
        <w:t>ПЕРЕЧЕНЬ</w:t>
      </w:r>
    </w:p>
    <w:p w:rsidR="00E45ACA" w:rsidRDefault="00E45ACA">
      <w:pPr>
        <w:pStyle w:val="ConsPlusTitle"/>
        <w:jc w:val="center"/>
      </w:pPr>
      <w:r>
        <w:t>СТАНДАРТОВ, СОДЕРЖАЩИХ ПРАВИЛА И МЕТОДЫ ИССЛЕДОВАНИЙ</w:t>
      </w:r>
    </w:p>
    <w:p w:rsidR="00E45ACA" w:rsidRDefault="00E45ACA">
      <w:pPr>
        <w:pStyle w:val="ConsPlusTitle"/>
        <w:jc w:val="center"/>
      </w:pPr>
      <w:r>
        <w:t>(ИСПЫТАНИЙ) И ИЗМЕРЕНИЙ, В ТОМ ЧИСЛЕ ПРАВИЛА ОТБОРА</w:t>
      </w:r>
    </w:p>
    <w:p w:rsidR="00E45ACA" w:rsidRDefault="00E45ACA">
      <w:pPr>
        <w:pStyle w:val="ConsPlusTitle"/>
        <w:jc w:val="center"/>
      </w:pPr>
      <w:r>
        <w:t>ОБРАЗЦОВ, НЕОБХОДИМЫЕ ДЛЯ ПРИМЕНЕНИЯ И ИСПОЛНЕНИЯ</w:t>
      </w:r>
    </w:p>
    <w:p w:rsidR="00E45ACA" w:rsidRDefault="00E45ACA">
      <w:pPr>
        <w:pStyle w:val="ConsPlusTitle"/>
        <w:jc w:val="center"/>
      </w:pPr>
      <w:r>
        <w:t>ТРЕБОВАНИЙ ТЕХНИЧЕСКОГО РЕГЛАМЕНТА ТАМОЖЕННОГО СОЮЗА</w:t>
      </w:r>
    </w:p>
    <w:p w:rsidR="00E45ACA" w:rsidRDefault="00E45ACA">
      <w:pPr>
        <w:pStyle w:val="ConsPlusTitle"/>
        <w:jc w:val="center"/>
      </w:pPr>
      <w:r>
        <w:t>"ТЕХНИЧЕСКИЙ РЕГЛАМЕНТ НА МАСЛОЖИРОВУЮ ПРОДУКЦИЮ"</w:t>
      </w:r>
    </w:p>
    <w:p w:rsidR="00E45ACA" w:rsidRDefault="00E45ACA">
      <w:pPr>
        <w:pStyle w:val="ConsPlusTitle"/>
        <w:jc w:val="center"/>
      </w:pPr>
      <w:r>
        <w:t>(ТР ТС 024/2011) И ОСУЩЕСТВЛЕНИЯ ОЦЕНКИ СООТВЕТСТВИЯ</w:t>
      </w:r>
    </w:p>
    <w:p w:rsidR="00E45ACA" w:rsidRDefault="00E45ACA">
      <w:pPr>
        <w:pStyle w:val="ConsPlusTitle"/>
        <w:jc w:val="center"/>
      </w:pPr>
      <w:r>
        <w:t>ОБЪЕКТОВ ТЕХНИЧЕСКОГО РЕГУЛИРОВАНИЯ</w:t>
      </w:r>
    </w:p>
    <w:p w:rsidR="00E45ACA" w:rsidRDefault="00E45ACA">
      <w:pPr>
        <w:pStyle w:val="ConsPlusNormal"/>
        <w:jc w:val="center"/>
      </w:pP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  <w:r>
        <w:t xml:space="preserve">Утратил силу с 1 июля 2022 года. - </w:t>
      </w:r>
      <w:hyperlink r:id="rId33">
        <w:r>
          <w:rPr>
            <w:color w:val="0000FF"/>
          </w:rPr>
          <w:t>Решение</w:t>
        </w:r>
      </w:hyperlink>
      <w:r>
        <w:t xml:space="preserve"> Коллегии Евразийской экономической комиссии от 29.03.2022 N 53.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jc w:val="right"/>
        <w:outlineLvl w:val="0"/>
      </w:pPr>
      <w:r>
        <w:t>Утвержден</w:t>
      </w:r>
    </w:p>
    <w:p w:rsidR="00E45ACA" w:rsidRDefault="00E45ACA">
      <w:pPr>
        <w:pStyle w:val="ConsPlusNormal"/>
        <w:jc w:val="right"/>
      </w:pPr>
      <w:r>
        <w:t>Решением Комиссии Таможенного союза</w:t>
      </w:r>
    </w:p>
    <w:p w:rsidR="00E45ACA" w:rsidRDefault="00E45ACA">
      <w:pPr>
        <w:pStyle w:val="ConsPlusNormal"/>
        <w:jc w:val="right"/>
      </w:pPr>
      <w:r>
        <w:t>от 9 декабря 2011 г. N 883</w:t>
      </w:r>
    </w:p>
    <w:p w:rsidR="00E45ACA" w:rsidRDefault="00E45ACA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E45AC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5ACA" w:rsidRDefault="00E45AC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5ACA" w:rsidRDefault="00E45AC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5ACA" w:rsidRDefault="00E45AC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45ACA" w:rsidRDefault="00E45ACA">
            <w:pPr>
              <w:pStyle w:val="ConsPlusNormal"/>
              <w:jc w:val="both"/>
            </w:pPr>
            <w:r>
              <w:rPr>
                <w:color w:val="392C69"/>
              </w:rPr>
              <w:t xml:space="preserve">Решением Коллегии ЕЭК от 29.03.2022 N 53 утвержден новый </w:t>
            </w:r>
            <w:hyperlink r:id="rId34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5ACA" w:rsidRDefault="00E45ACA">
            <w:pPr>
              <w:pStyle w:val="ConsPlusNormal"/>
            </w:pPr>
          </w:p>
        </w:tc>
      </w:tr>
    </w:tbl>
    <w:p w:rsidR="00E45ACA" w:rsidRDefault="00E45ACA">
      <w:pPr>
        <w:pStyle w:val="ConsPlusTitle"/>
        <w:spacing w:before="260"/>
        <w:jc w:val="center"/>
      </w:pPr>
      <w:r>
        <w:t>ПЕРЕЧЕНЬ</w:t>
      </w:r>
    </w:p>
    <w:p w:rsidR="00E45ACA" w:rsidRDefault="00E45ACA">
      <w:pPr>
        <w:pStyle w:val="ConsPlusTitle"/>
        <w:jc w:val="center"/>
      </w:pPr>
      <w:r>
        <w:t>СТАНДАРТОВ, В РЕЗУЛЬТАТЕ ПРИМЕНЕНИЯ КОТОРЫХ НА ДОБРОВОЛЬНОЙ</w:t>
      </w:r>
    </w:p>
    <w:p w:rsidR="00E45ACA" w:rsidRDefault="00E45ACA">
      <w:pPr>
        <w:pStyle w:val="ConsPlusTitle"/>
        <w:jc w:val="center"/>
      </w:pPr>
      <w:r>
        <w:t>ОСНОВЕ ОБЕСПЕЧИВАЕТСЯ СОБЛЮДЕНИЕ ТРЕБОВАНИЙ ТЕХНИЧЕСКОГО</w:t>
      </w:r>
    </w:p>
    <w:p w:rsidR="00E45ACA" w:rsidRDefault="00E45ACA">
      <w:pPr>
        <w:pStyle w:val="ConsPlusTitle"/>
        <w:jc w:val="center"/>
      </w:pPr>
      <w:r>
        <w:t>РЕГЛАМЕНТА ТАМОЖЕННОГО СОЮЗА "ТЕХНИЧЕСКИЙ РЕГЛАМЕНТ</w:t>
      </w:r>
    </w:p>
    <w:p w:rsidR="00E45ACA" w:rsidRDefault="00E45ACA">
      <w:pPr>
        <w:pStyle w:val="ConsPlusTitle"/>
        <w:jc w:val="center"/>
      </w:pPr>
      <w:r>
        <w:t>НА МАСЛОЖИРОВУЮ ПРОДУКЦИЮ" (ТР ТС 024/2011)</w:t>
      </w:r>
    </w:p>
    <w:p w:rsidR="00E45ACA" w:rsidRDefault="00E45ACA">
      <w:pPr>
        <w:pStyle w:val="ConsPlusNormal"/>
        <w:jc w:val="center"/>
      </w:pPr>
    </w:p>
    <w:p w:rsidR="00E45ACA" w:rsidRDefault="00E45ACA">
      <w:pPr>
        <w:pStyle w:val="ConsPlusNormal"/>
        <w:ind w:firstLine="540"/>
        <w:jc w:val="both"/>
      </w:pPr>
      <w:r>
        <w:t xml:space="preserve">Утратил силу с 1 июля 2022 года. - </w:t>
      </w:r>
      <w:hyperlink r:id="rId35">
        <w:r>
          <w:rPr>
            <w:color w:val="0000FF"/>
          </w:rPr>
          <w:t>Решение</w:t>
        </w:r>
      </w:hyperlink>
      <w:r>
        <w:t xml:space="preserve"> Коллегии Евразийской экономической комиссии от 29.03.2022 N 53.</w:t>
      </w:r>
    </w:p>
    <w:p w:rsidR="00E45ACA" w:rsidRDefault="00E45ACA">
      <w:pPr>
        <w:pStyle w:val="ConsPlusNormal"/>
        <w:ind w:firstLine="540"/>
        <w:jc w:val="both"/>
      </w:pPr>
    </w:p>
    <w:p w:rsidR="00E45ACA" w:rsidRDefault="00E45ACA">
      <w:pPr>
        <w:pStyle w:val="ConsPlusNormal"/>
        <w:jc w:val="center"/>
      </w:pPr>
    </w:p>
    <w:p w:rsidR="00E45ACA" w:rsidRDefault="00E45AC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7900" w:rsidRDefault="00F87900">
      <w:bookmarkStart w:id="20" w:name="_GoBack"/>
      <w:bookmarkEnd w:id="20"/>
    </w:p>
    <w:sectPr w:rsidR="00F8790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CA"/>
    <w:rsid w:val="006045F3"/>
    <w:rsid w:val="00E45ACA"/>
    <w:rsid w:val="00F8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8A023-9F63-43CC-93F0-24A63C8A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5ACA"/>
    <w:pPr>
      <w:widowControl w:val="0"/>
      <w:autoSpaceDE w:val="0"/>
      <w:autoSpaceDN w:val="0"/>
    </w:pPr>
    <w:rPr>
      <w:rFonts w:ascii="Arial" w:eastAsiaTheme="minorEastAsia" w:hAnsi="Arial" w:cs="Arial"/>
      <w:sz w:val="20"/>
      <w:szCs w:val="22"/>
      <w:lang w:eastAsia="ru-RU"/>
    </w:rPr>
  </w:style>
  <w:style w:type="paragraph" w:customStyle="1" w:styleId="ConsPlusNonformat">
    <w:name w:val="ConsPlusNonformat"/>
    <w:rsid w:val="00E45ACA"/>
    <w:pPr>
      <w:widowControl w:val="0"/>
      <w:autoSpaceDE w:val="0"/>
      <w:autoSpaceDN w:val="0"/>
    </w:pPr>
    <w:rPr>
      <w:rFonts w:eastAsiaTheme="minorEastAsia"/>
      <w:sz w:val="20"/>
      <w:szCs w:val="22"/>
      <w:lang w:eastAsia="ru-RU"/>
    </w:rPr>
  </w:style>
  <w:style w:type="paragraph" w:customStyle="1" w:styleId="ConsPlusTitle">
    <w:name w:val="ConsPlusTitle"/>
    <w:rsid w:val="00E45ACA"/>
    <w:pPr>
      <w:widowControl w:val="0"/>
      <w:autoSpaceDE w:val="0"/>
      <w:autoSpaceDN w:val="0"/>
    </w:pPr>
    <w:rPr>
      <w:rFonts w:ascii="Arial" w:eastAsiaTheme="minorEastAsia" w:hAnsi="Arial" w:cs="Arial"/>
      <w:b/>
      <w:sz w:val="20"/>
      <w:szCs w:val="22"/>
      <w:lang w:eastAsia="ru-RU"/>
    </w:rPr>
  </w:style>
  <w:style w:type="paragraph" w:customStyle="1" w:styleId="ConsPlusCell">
    <w:name w:val="ConsPlusCell"/>
    <w:rsid w:val="00E45ACA"/>
    <w:pPr>
      <w:widowControl w:val="0"/>
      <w:autoSpaceDE w:val="0"/>
      <w:autoSpaceDN w:val="0"/>
    </w:pPr>
    <w:rPr>
      <w:rFonts w:eastAsiaTheme="minorEastAsia"/>
      <w:sz w:val="20"/>
      <w:szCs w:val="22"/>
      <w:lang w:eastAsia="ru-RU"/>
    </w:rPr>
  </w:style>
  <w:style w:type="paragraph" w:customStyle="1" w:styleId="ConsPlusDocList">
    <w:name w:val="ConsPlusDocList"/>
    <w:rsid w:val="00E45ACA"/>
    <w:pPr>
      <w:widowControl w:val="0"/>
      <w:autoSpaceDE w:val="0"/>
      <w:autoSpaceDN w:val="0"/>
    </w:pPr>
    <w:rPr>
      <w:rFonts w:eastAsiaTheme="minorEastAsia"/>
      <w:sz w:val="20"/>
      <w:szCs w:val="22"/>
      <w:lang w:eastAsia="ru-RU"/>
    </w:rPr>
  </w:style>
  <w:style w:type="paragraph" w:customStyle="1" w:styleId="ConsPlusTitlePage">
    <w:name w:val="ConsPlusTitlePage"/>
    <w:rsid w:val="00E45ACA"/>
    <w:pPr>
      <w:widowControl w:val="0"/>
      <w:autoSpaceDE w:val="0"/>
      <w:autoSpaceDN w:val="0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JurTerm">
    <w:name w:val="ConsPlusJurTerm"/>
    <w:rsid w:val="00E45ACA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  <w:lang w:eastAsia="ru-RU"/>
    </w:rPr>
  </w:style>
  <w:style w:type="paragraph" w:customStyle="1" w:styleId="ConsPlusTextList">
    <w:name w:val="ConsPlusTextList"/>
    <w:rsid w:val="00E45ACA"/>
    <w:pPr>
      <w:widowControl w:val="0"/>
      <w:autoSpaceDE w:val="0"/>
      <w:autoSpaceDN w:val="0"/>
    </w:pPr>
    <w:rPr>
      <w:rFonts w:ascii="Arial" w:eastAsiaTheme="minorEastAsia" w:hAnsi="Arial" w:cs="Arial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CA071A518F5BDD78DB84A4E1B2D2EC7353C816ADA8389D672C202C7978D7DD282B3FF9B1E4DAABC19DBFFA60839B79AF21E58AD55B46B9h41DL" TargetMode="External"/><Relationship Id="rId13" Type="http://schemas.openxmlformats.org/officeDocument/2006/relationships/hyperlink" Target="consultantplus://offline/ref=50CA071A518F5BDD78DB84A4E1B2D2EC735BCD1EA6A7389D672C202C7978D7DD282B3FF9B1E4DAADC19DBFFA60839B79AF21E58AD55B46B9h41DL" TargetMode="External"/><Relationship Id="rId18" Type="http://schemas.openxmlformats.org/officeDocument/2006/relationships/hyperlink" Target="consultantplus://offline/ref=50CA071A518F5BDD78DB84A4E1B2D2EC735BCD1EA6A7389D672C202C7978D7DD282B3FF9B1E4DAAEC39DBFFA60839B79AF21E58AD55B46B9h41DL" TargetMode="External"/><Relationship Id="rId26" Type="http://schemas.openxmlformats.org/officeDocument/2006/relationships/hyperlink" Target="consultantplus://offline/ref=50CA071A518F5BDD78DB84A4E1B2D2EC7352CC1FA2AC389D672C202C7978D7DD282B3FF9B1E4D9ACC29DBFFA60839B79AF21E58AD55B46B9h41D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0CA071A518F5BDD78DB84A4E1B2D2EC735BCD1EA6A7389D672C202C7978D7DD282B3FF9B1E4DAAECF9DBFFA60839B79AF21E58AD55B46B9h41DL" TargetMode="External"/><Relationship Id="rId34" Type="http://schemas.openxmlformats.org/officeDocument/2006/relationships/hyperlink" Target="consultantplus://offline/ref=50CA071A518F5BDD78DB84A4E1B2D2EC7652CC12A1A6389D672C202C7978D7DD282B3FF9B1E4DAADC49DBFFA60839B79AF21E58AD55B46B9h41DL" TargetMode="External"/><Relationship Id="rId7" Type="http://schemas.openxmlformats.org/officeDocument/2006/relationships/hyperlink" Target="consultantplus://offline/ref=50CA071A518F5BDD78DB84A4E1B2D2EC7652CC12A1A6389D672C202C7978D7DD282B3FF9B1E4DAACCE9DBFFA60839B79AF21E58AD55B46B9h41DL" TargetMode="External"/><Relationship Id="rId12" Type="http://schemas.openxmlformats.org/officeDocument/2006/relationships/hyperlink" Target="consultantplus://offline/ref=50CA071A518F5BDD78DB84A4E1B2D2EC735BCD1EA6A7389D672C202C7978D7DD282B3FF9B1E4DAADC39DBFFA60839B79AF21E58AD55B46B9h41DL" TargetMode="External"/><Relationship Id="rId17" Type="http://schemas.openxmlformats.org/officeDocument/2006/relationships/hyperlink" Target="consultantplus://offline/ref=50CA071A518F5BDD78DB84A4E1B2D2EC735BCD1EA6A7389D672C202C7978D7DD282B3FF9B1E4DAAEC49DBFFA60839B79AF21E58AD55B46B9h41DL" TargetMode="External"/><Relationship Id="rId25" Type="http://schemas.openxmlformats.org/officeDocument/2006/relationships/hyperlink" Target="consultantplus://offline/ref=50CA071A518F5BDD78DB84A4E1B2D2EC7352CC1FA2AC389D672C202C7978D7DD282B3FF9B1E4D8ABCF9DBFFA60839B79AF21E58AD55B46B9h41DL" TargetMode="External"/><Relationship Id="rId33" Type="http://schemas.openxmlformats.org/officeDocument/2006/relationships/hyperlink" Target="consultantplus://offline/ref=50CA071A518F5BDD78DB84A4E1B2D2EC7652CC12A1A6389D672C202C7978D7DD282B3FF9B1E4DAACCE9DBFFA60839B79AF21E58AD55B46B9h41D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0CA071A518F5BDD78DB84A4E1B2D2EC735BCD1EA6A7389D672C202C7978D7DD282B3FF9B1E4DAAEC79DBFFA60839B79AF21E58AD55B46B9h41DL" TargetMode="External"/><Relationship Id="rId20" Type="http://schemas.openxmlformats.org/officeDocument/2006/relationships/hyperlink" Target="consultantplus://offline/ref=50CA071A518F5BDD78DB84A4E1B2D2EC735BCD1EA6A7389D672C202C7978D7DD282B3FF9B1E4DAAEC19DBFFA60839B79AF21E58AD55B46B9h41DL" TargetMode="External"/><Relationship Id="rId29" Type="http://schemas.openxmlformats.org/officeDocument/2006/relationships/hyperlink" Target="consultantplus://offline/ref=50CA071A518F5BDD78DB84A4E1B2D2EC715ACD14A5AA389D672C202C7978D7DD282B3FF9B1E4DAA8CE9DBFFA60839B79AF21E58AD55B46B9h41D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0CA071A518F5BDD78DB84A4E1B2D2EC735AC81EA6AD389D672C202C7978D7DD282B3FF9B1E4DAACC39DBFFA60839B79AF21E58AD55B46B9h41DL" TargetMode="External"/><Relationship Id="rId11" Type="http://schemas.openxmlformats.org/officeDocument/2006/relationships/hyperlink" Target="consultantplus://offline/ref=50CA071A518F5BDD78DB84A4E1B2D2EC7353C816ADA8389D672C202C7978D7DD3A2B67F5B3ECC4ADC788E9AB26hD14L" TargetMode="External"/><Relationship Id="rId24" Type="http://schemas.openxmlformats.org/officeDocument/2006/relationships/hyperlink" Target="consultantplus://offline/ref=50CA071A518F5BDD78DB84A4E1B2D2EC7352CC1FA2AC389D672C202C7978D7DD282B3FF9B1E4D8AAC19DBFFA60839B79AF21E58AD55B46B9h41DL" TargetMode="External"/><Relationship Id="rId32" Type="http://schemas.openxmlformats.org/officeDocument/2006/relationships/hyperlink" Target="consultantplus://offline/ref=50CA071A518F5BDD78DB84A4E1B2D2EC7652CC12A1A6389D672C202C7978D7DD282B3FF9B1E4DAABC39DBFFA60839B79AF21E58AD55B46B9h41DL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50CA071A518F5BDD78DB84A4E1B2D2EC735BCD1EA6A7389D672C202C7978D7DD282B3FF9B1E4DAACC39DBFFA60839B79AF21E58AD55B46B9h41DL" TargetMode="External"/><Relationship Id="rId15" Type="http://schemas.openxmlformats.org/officeDocument/2006/relationships/hyperlink" Target="consultantplus://offline/ref=50CA071A518F5BDD78DB84A4E1B2D2EC735BCD1EA6A7389D672C202C7978D7DD282B3FF9B1E4DAAEC69DBFFA60839B79AF21E58AD55B46B9h41DL" TargetMode="External"/><Relationship Id="rId23" Type="http://schemas.openxmlformats.org/officeDocument/2006/relationships/hyperlink" Target="consultantplus://offline/ref=50CA071A518F5BDD78DB84A4E1B2D2EC7352CC1FA2AC389D672C202C7978D7DD282B3FF9B1E4D8A9C19DBFFA60839B79AF21E58AD55B46B9h41DL" TargetMode="External"/><Relationship Id="rId28" Type="http://schemas.openxmlformats.org/officeDocument/2006/relationships/hyperlink" Target="consultantplus://offline/ref=50CA071A518F5BDD78DB84A4E1B2D2EC7651C614ADAE389D672C202C7978D7DD282B3FF9B1E4D9A8CF9DBFFA60839B79AF21E58AD55B46B9h41DL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50CA071A518F5BDD78DB84A4E1B2D2EC735BCD1EA6A7389D672C202C7978D7DD282B3FF9B1E4DAACC39DBFFA60839B79AF21E58AD55B46B9h41DL" TargetMode="External"/><Relationship Id="rId19" Type="http://schemas.openxmlformats.org/officeDocument/2006/relationships/hyperlink" Target="consultantplus://offline/ref=50CA071A518F5BDD78DB84A4E1B2D2EC715ACD14A5AA389D672C202C7978D7DD282B3FF9B1E4DAA8CE9DBFFA60839B79AF21E58AD55B46B9h41DL" TargetMode="External"/><Relationship Id="rId31" Type="http://schemas.openxmlformats.org/officeDocument/2006/relationships/hyperlink" Target="consultantplus://offline/ref=50CA071A518F5BDD78DB84A4E1B2D2EC735BCD1EA6A7389D672C202C7978D7DD282B3FF9B1E4DAAFC69DBFFA60839B79AF21E58AD55B46B9h41D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0CA071A518F5BDD78DB84A4E1B2D2EC7652CC12A1A6389D672C202C7978D7DD282B3FF9B1E4DAACCE9DBFFA60839B79AF21E58AD55B46B9h41DL" TargetMode="External"/><Relationship Id="rId14" Type="http://schemas.openxmlformats.org/officeDocument/2006/relationships/hyperlink" Target="consultantplus://offline/ref=50CA071A518F5BDD78DB84A4E1B2D2EC735BCD1EA6A7389D672C202C7978D7DD282B3FF9B1E4DAADCE9DBFFA60839B79AF21E58AD55B46B9h41DL" TargetMode="External"/><Relationship Id="rId22" Type="http://schemas.openxmlformats.org/officeDocument/2006/relationships/hyperlink" Target="consultantplus://offline/ref=50CA071A518F5BDD78DB84A4E1B2D2EC7352CC1FA2AC389D672C202C7978D7DD282B3FF9B1E4D8A8C39DBFFA60839B79AF21E58AD55B46B9h41DL" TargetMode="External"/><Relationship Id="rId27" Type="http://schemas.openxmlformats.org/officeDocument/2006/relationships/hyperlink" Target="consultantplus://offline/ref=50CA071A518F5BDD78DB84A4E1B2D2EC7352CC1FA2AC389D672C202C7978D7DD282B3FF9B1E4DAADC79DBFFA60839B79AF21E58AD55B46B9h41DL" TargetMode="External"/><Relationship Id="rId30" Type="http://schemas.openxmlformats.org/officeDocument/2006/relationships/hyperlink" Target="consultantplus://offline/ref=50CA071A518F5BDD78DB84A4E1B2D2EC735AC812A3A6389D672C202C7978D7DD282B3FF9B1E4DAADC49DBFFA60839B79AF21E58AD55B46B9h41DL" TargetMode="External"/><Relationship Id="rId35" Type="http://schemas.openxmlformats.org/officeDocument/2006/relationships/hyperlink" Target="consultantplus://offline/ref=50CA071A518F5BDD78DB84A4E1B2D2EC7652CC12A1A6389D672C202C7978D7DD282B3FF9B1E4DAACCE9DBFFA60839B79AF21E58AD55B46B9h41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12002</Words>
  <Characters>68413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oon12</dc:creator>
  <cp:keywords/>
  <dc:description/>
  <cp:lastModifiedBy>oon12</cp:lastModifiedBy>
  <cp:revision>1</cp:revision>
  <dcterms:created xsi:type="dcterms:W3CDTF">2022-11-28T11:53:00Z</dcterms:created>
  <dcterms:modified xsi:type="dcterms:W3CDTF">2022-11-28T11:53:00Z</dcterms:modified>
</cp:coreProperties>
</file>